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文星标宋" w:hAnsi="文星标宋" w:eastAsia="文星标宋" w:cs="文星标宋"/>
          <w:b/>
          <w:bCs/>
          <w:sz w:val="44"/>
          <w:szCs w:val="44"/>
          <w:lang w:eastAsia="zh-CN"/>
        </w:rPr>
      </w:pPr>
      <w:r>
        <w:rPr>
          <w:rFonts w:hint="eastAsia" w:ascii="文星标宋" w:hAnsi="文星标宋" w:eastAsia="文星标宋" w:cs="文星标宋"/>
          <w:b/>
          <w:bCs/>
          <w:sz w:val="44"/>
          <w:szCs w:val="44"/>
        </w:rPr>
        <w:t>昌乐县</w:t>
      </w:r>
      <w:r>
        <w:rPr>
          <w:rFonts w:hint="eastAsia" w:ascii="文星标宋" w:hAnsi="文星标宋" w:eastAsia="文星标宋" w:cs="文星标宋"/>
          <w:b/>
          <w:bCs/>
          <w:sz w:val="44"/>
          <w:szCs w:val="44"/>
          <w:lang w:eastAsia="zh-CN"/>
        </w:rPr>
        <w:t>商务局</w:t>
      </w:r>
    </w:p>
    <w:p>
      <w:pPr>
        <w:spacing w:line="600" w:lineRule="exact"/>
        <w:jc w:val="center"/>
        <w:rPr>
          <w:rFonts w:hint="eastAsia" w:ascii="文星标宋" w:hAnsi="文星标宋" w:eastAsia="文星标宋" w:cs="文星标宋"/>
          <w:b/>
          <w:bCs/>
          <w:sz w:val="44"/>
          <w:szCs w:val="44"/>
        </w:rPr>
      </w:pPr>
      <w:r>
        <w:rPr>
          <w:rFonts w:hint="eastAsia" w:ascii="文星标宋" w:hAnsi="文星标宋" w:eastAsia="文星标宋" w:cs="文星标宋"/>
          <w:b/>
          <w:bCs/>
          <w:sz w:val="44"/>
          <w:szCs w:val="44"/>
        </w:rPr>
        <w:t>202</w:t>
      </w:r>
      <w:r>
        <w:rPr>
          <w:rFonts w:hint="eastAsia" w:ascii="文星标宋" w:hAnsi="文星标宋" w:eastAsia="文星标宋" w:cs="文星标宋"/>
          <w:b/>
          <w:bCs/>
          <w:sz w:val="44"/>
          <w:szCs w:val="44"/>
          <w:lang w:val="en-US" w:eastAsia="zh-CN"/>
        </w:rPr>
        <w:t>3</w:t>
      </w:r>
      <w:r>
        <w:rPr>
          <w:rFonts w:hint="eastAsia" w:ascii="文星标宋" w:hAnsi="文星标宋" w:eastAsia="文星标宋" w:cs="文星标宋"/>
          <w:b/>
          <w:bCs/>
          <w:sz w:val="44"/>
          <w:szCs w:val="44"/>
        </w:rPr>
        <w:t>年政府信息公开工作年度报告</w:t>
      </w:r>
    </w:p>
    <w:p>
      <w:pPr>
        <w:spacing w:line="600" w:lineRule="exact"/>
        <w:ind w:firstLine="643" w:firstLineChars="200"/>
        <w:rPr>
          <w:rFonts w:ascii="仿宋_GB2312" w:eastAsia="仿宋_GB2312"/>
          <w:b/>
          <w:bCs/>
          <w:sz w:val="32"/>
          <w:szCs w:val="32"/>
        </w:rPr>
      </w:pP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根据《中华人民共和国政府信息公开条例》等要求，按照昌乐县政府有关规定，现向社会公布昌乐县商务局202</w:t>
      </w:r>
      <w:r>
        <w:rPr>
          <w:rFonts w:hint="eastAsia" w:ascii="仿宋_GB2312" w:eastAsia="仿宋_GB2312"/>
          <w:b/>
          <w:bCs/>
          <w:sz w:val="32"/>
          <w:szCs w:val="32"/>
          <w:lang w:val="en-US" w:eastAsia="zh-CN"/>
        </w:rPr>
        <w:t>3</w:t>
      </w:r>
      <w:r>
        <w:rPr>
          <w:rFonts w:hint="eastAsia" w:ascii="仿宋_GB2312" w:eastAsia="仿宋_GB2312"/>
          <w:b/>
          <w:bCs/>
          <w:sz w:val="32"/>
          <w:szCs w:val="32"/>
        </w:rPr>
        <w:t>年政府信息公开工作年度报告。内容包括总体情况、主动公开政府信息情况、收到和处理政府信息公开申请情况、政府信息公开行政复议和行政诉讼情况、存在的主要</w:t>
      </w:r>
      <w:bookmarkStart w:id="10" w:name="_GoBack"/>
      <w:bookmarkEnd w:id="10"/>
      <w:r>
        <w:rPr>
          <w:rFonts w:hint="eastAsia" w:ascii="仿宋_GB2312" w:eastAsia="仿宋_GB2312"/>
          <w:b/>
          <w:bCs/>
          <w:sz w:val="32"/>
          <w:szCs w:val="32"/>
        </w:rPr>
        <w:t>问题及改进情况、其他需要报告的事项等六个部分。本年度报告中所列数据的统计期限自202</w:t>
      </w:r>
      <w:r>
        <w:rPr>
          <w:rFonts w:hint="eastAsia" w:ascii="仿宋_GB2312" w:eastAsia="仿宋_GB2312"/>
          <w:b/>
          <w:bCs/>
          <w:sz w:val="32"/>
          <w:szCs w:val="32"/>
          <w:lang w:val="en-US" w:eastAsia="zh-CN"/>
        </w:rPr>
        <w:t>3</w:t>
      </w:r>
      <w:r>
        <w:rPr>
          <w:rFonts w:hint="eastAsia" w:ascii="仿宋_GB2312" w:eastAsia="仿宋_GB2312"/>
          <w:b/>
          <w:bCs/>
          <w:sz w:val="32"/>
          <w:szCs w:val="32"/>
        </w:rPr>
        <w:t>年1月1日起，至202</w:t>
      </w:r>
      <w:r>
        <w:rPr>
          <w:rFonts w:hint="eastAsia" w:ascii="仿宋_GB2312" w:eastAsia="仿宋_GB2312"/>
          <w:b/>
          <w:bCs/>
          <w:sz w:val="32"/>
          <w:szCs w:val="32"/>
          <w:lang w:val="en-US" w:eastAsia="zh-CN"/>
        </w:rPr>
        <w:t>3</w:t>
      </w:r>
      <w:r>
        <w:rPr>
          <w:rFonts w:hint="eastAsia" w:ascii="仿宋_GB2312" w:eastAsia="仿宋_GB2312"/>
          <w:b/>
          <w:bCs/>
          <w:sz w:val="32"/>
          <w:szCs w:val="32"/>
        </w:rPr>
        <w:t>年12月31日止。如对本报告有疑问，请联系昌乐县商务局办公室，联系电话:0536-6221233。</w:t>
      </w: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（一）总体情况</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2023年，昌乐县商务局在县委、县政府的正确领导下，我局按照中央、省、市、县关于政府信息公开工作的部署要求，结合工作实际和业务发展要求，按照依法、全面、真实原则，我局进一步完善信息公开制度、不断探索创新流程，采取多种方法全面、及时、准确地进行公开，稳步推进政府信息公开工作，较好地完成了各项工作任务。凡是需要主动向社会公开的政府信息都在规定的时间内予以及时主动公开。</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1.主动公开情况</w:t>
      </w:r>
    </w:p>
    <w:p>
      <w:pPr>
        <w:numPr>
          <w:ilvl w:val="0"/>
          <w:numId w:val="0"/>
        </w:num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①主动公开机构概况。根据《政府信息公开条例》第二十条第（二）款要求，主动公开局机构职能、办公电话、投诉电话、传真号码、办公时间、办公地址、邮编、电子邮箱等。</w:t>
      </w:r>
    </w:p>
    <w:p>
      <w:pPr>
        <w:numPr>
          <w:ilvl w:val="0"/>
          <w:numId w:val="0"/>
        </w:num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②主动公开财政预决算。主动公开部门预算、决算，在中国·昌乐门户网站对2023年预算、决算情况进行了公开。</w:t>
      </w:r>
    </w:p>
    <w:p>
      <w:pPr>
        <w:numPr>
          <w:ilvl w:val="0"/>
          <w:numId w:val="0"/>
        </w:num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③及时公开行政权力运行。及时公开我局重点领域信息和权力运行情况，并在中国·昌乐门户网站公开。</w:t>
      </w:r>
    </w:p>
    <w:p>
      <w:pPr>
        <w:numPr>
          <w:ilvl w:val="0"/>
          <w:numId w:val="0"/>
        </w:num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2.依申请公开情况。县商务局未收到政府信息公开申请件。无因政府信息公开申请提起行政复议、行政诉讼的情况。</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政府信息管理情况。确定专人负责政务公开工作，严格执行政务公开相关规章制度，坚持“先审查，后公开”原则，经局分管领导审核把关后方可发布。坚持“上网不涉密，涉密不上网”原则，严格做好保密审查流程，确保公开信息不涉密。</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4.政府信息公开平台建设情况。一是依托“中国·昌乐”网站的“政务公开”专栏信息，扎实推进县商务局信息公开常态化工作，确保局信息公开及时、准确、全面。二是利用县商务局公众号，对突发事件和政务舆情第一时间响应，及时发布动态信息。</w:t>
      </w:r>
    </w:p>
    <w:p>
      <w:pPr>
        <w:spacing w:line="600" w:lineRule="exact"/>
        <w:ind w:firstLine="643" w:firstLineChars="200"/>
        <w:rPr>
          <w:rFonts w:hint="eastAsia" w:ascii="楷体_GB2312" w:eastAsia="楷体_GB2312"/>
          <w:b/>
          <w:bCs/>
          <w:sz w:val="32"/>
          <w:szCs w:val="32"/>
        </w:rPr>
      </w:pPr>
      <w:r>
        <w:rPr>
          <w:rFonts w:hint="eastAsia" w:ascii="仿宋_GB2312" w:eastAsia="仿宋_GB2312"/>
          <w:b/>
          <w:bCs/>
          <w:sz w:val="32"/>
          <w:szCs w:val="32"/>
          <w:lang w:val="en-US" w:eastAsia="zh-CN"/>
        </w:rPr>
        <w:t>5.监督保障情况。强化对政府信息公开的监督和考核，一是根据局人员岗位变动及时调整政务公开领导小组成员，由局长任组长，并确定分管负责人，办公室为信息公开工作机构，安排专人具体负责，对各科室信息公开工作负责人进行培训，细化分解任务。二是严格做好规范政府信息公开工作。加强内部管理和信息审核，积极接受社会和群众监督。三是强化责任考核，将信息公开工作作为从严治党和法治政府建设重要内容，明确具体工作人员，对未按要求开展政府信息公开工作的，严格督促整改。</w:t>
      </w: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（二）行政机关主动公开政府信息情况</w:t>
      </w:r>
    </w:p>
    <w:p>
      <w:pPr>
        <w:jc w:val="center"/>
        <w:rPr>
          <w:rFonts w:ascii="仿宋_GB2312" w:eastAsia="仿宋_GB2312"/>
          <w:b/>
          <w:bCs/>
          <w:sz w:val="28"/>
          <w:szCs w:val="28"/>
        </w:rPr>
      </w:pPr>
      <w:r>
        <w:rPr>
          <w:rFonts w:hint="eastAsia" w:ascii="仿宋_GB2312" w:eastAsia="仿宋_GB2312"/>
          <w:b/>
          <w:bCs/>
          <w:sz w:val="28"/>
          <w:szCs w:val="28"/>
        </w:rPr>
        <w:t>表1 主动公开政府信息情况</w:t>
      </w:r>
    </w:p>
    <w:tbl>
      <w:tblPr>
        <w:tblStyle w:val="5"/>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lang w:val="en-US" w:eastAsia="zh-CN"/>
              </w:rPr>
              <w:t>0</w:t>
            </w:r>
          </w:p>
        </w:tc>
      </w:tr>
    </w:tbl>
    <w:p>
      <w:pPr>
        <w:spacing w:line="600" w:lineRule="exact"/>
        <w:ind w:firstLine="643" w:firstLineChars="200"/>
        <w:rPr>
          <w:rFonts w:hint="eastAsia" w:ascii="楷体_GB2312" w:eastAsia="楷体_GB2312"/>
          <w:b/>
          <w:bCs/>
          <w:sz w:val="32"/>
          <w:szCs w:val="32"/>
        </w:rPr>
      </w:pPr>
    </w:p>
    <w:p>
      <w:pPr>
        <w:spacing w:line="600" w:lineRule="exact"/>
        <w:rPr>
          <w:rFonts w:hint="eastAsia" w:ascii="楷体_GB2312" w:eastAsia="楷体_GB2312"/>
          <w:b/>
          <w:bCs/>
          <w:sz w:val="32"/>
          <w:szCs w:val="32"/>
        </w:rPr>
      </w:pP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（三）行政机关收到和处理政府信息公开申请情况</w:t>
      </w:r>
    </w:p>
    <w:p>
      <w:pPr>
        <w:jc w:val="center"/>
        <w:rPr>
          <w:rFonts w:ascii="仿宋_GB2312" w:eastAsia="仿宋_GB2312"/>
          <w:b/>
          <w:bCs/>
          <w:sz w:val="28"/>
          <w:szCs w:val="28"/>
        </w:rPr>
      </w:pPr>
      <w:r>
        <w:rPr>
          <w:rFonts w:hint="eastAsia" w:ascii="仿宋_GB2312" w:eastAsia="仿宋_GB2312"/>
          <w:b/>
          <w:bCs/>
          <w:sz w:val="28"/>
          <w:szCs w:val="28"/>
        </w:rPr>
        <w:t>表2</w:t>
      </w:r>
      <w:r>
        <w:rPr>
          <w:rFonts w:ascii="仿宋_GB2312" w:eastAsia="仿宋_GB2312"/>
          <w:b/>
          <w:bCs/>
          <w:sz w:val="28"/>
          <w:szCs w:val="28"/>
        </w:rPr>
        <w:t xml:space="preserve"> </w:t>
      </w:r>
      <w:r>
        <w:rPr>
          <w:rFonts w:hint="eastAsia" w:ascii="仿宋_GB2312" w:eastAsia="仿宋_GB2312"/>
          <w:b/>
          <w:bCs/>
          <w:sz w:val="28"/>
          <w:szCs w:val="28"/>
        </w:rPr>
        <w:t>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b/>
                <w:bCs/>
                <w:kern w:val="0"/>
                <w:szCs w:val="21"/>
              </w:rPr>
            </w:pPr>
            <w:r>
              <w:rPr>
                <w:rFonts w:hint="eastAsia" w:ascii="楷体_GB2312" w:hAnsi="黑体" w:eastAsia="楷体_GB2312"/>
                <w:b/>
                <w:bCs/>
                <w:kern w:val="0"/>
                <w:szCs w:val="21"/>
              </w:rPr>
              <w:t>（本列数据的勾稽关系为：第一项加第二项之和，</w:t>
            </w:r>
          </w:p>
          <w:p>
            <w:pPr>
              <w:widowControl/>
              <w:jc w:val="center"/>
              <w:rPr>
                <w:rFonts w:ascii="仿宋_GB2312" w:hAnsi="Times New Roman" w:eastAsia="仿宋_GB2312"/>
                <w:b/>
                <w:bCs/>
                <w:szCs w:val="21"/>
              </w:rPr>
            </w:pPr>
            <w:r>
              <w:rPr>
                <w:rFonts w:hint="eastAsia" w:ascii="楷体_GB2312" w:hAnsi="黑体" w:eastAsia="楷体_GB2312"/>
                <w:b/>
                <w:bCs/>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b/>
                <w:bCs/>
                <w:szCs w:val="21"/>
              </w:rPr>
            </w:pPr>
            <w:r>
              <w:rPr>
                <w:rFonts w:hint="eastAsia" w:ascii="黑体" w:hAnsi="黑体" w:eastAsia="黑体"/>
                <w:b/>
                <w:bCs/>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b/>
                <w:bCs/>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b/>
                <w:bCs/>
                <w:szCs w:val="21"/>
              </w:rPr>
            </w:pPr>
            <w:r>
              <w:rPr>
                <w:rFonts w:hint="eastAsia" w:ascii="黑体" w:hAnsi="黑体" w:eastAsia="黑体"/>
                <w:b/>
                <w:bCs/>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b/>
                <w:bCs/>
                <w:szCs w:val="21"/>
              </w:rPr>
            </w:pPr>
          </w:p>
        </w:tc>
        <w:tc>
          <w:tcPr>
            <w:tcW w:w="829" w:type="dxa"/>
            <w:vMerge w:val="continue"/>
            <w:shd w:val="clear" w:color="auto" w:fill="auto"/>
            <w:tcMar>
              <w:left w:w="108" w:type="dxa"/>
              <w:right w:w="108" w:type="dxa"/>
            </w:tcMar>
            <w:vAlign w:val="center"/>
          </w:tcPr>
          <w:p>
            <w:pPr>
              <w:jc w:val="center"/>
              <w:rPr>
                <w:rFonts w:ascii="黑体" w:hAnsi="黑体" w:eastAsia="黑体"/>
                <w:b/>
                <w:bCs/>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b/>
                <w:bCs/>
                <w:szCs w:val="21"/>
              </w:rPr>
            </w:pPr>
            <w:r>
              <w:rPr>
                <w:rFonts w:hint="eastAsia" w:ascii="黑体" w:hAnsi="黑体" w:eastAsia="黑体"/>
                <w:b/>
                <w:bCs/>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一、</w:t>
            </w:r>
            <w:bookmarkStart w:id="0" w:name="_Hlk66973412"/>
            <w:r>
              <w:rPr>
                <w:rFonts w:hint="eastAsia" w:ascii="黑体" w:hAnsi="黑体" w:eastAsia="黑体"/>
                <w:b/>
                <w:bCs/>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jc w:val="center"/>
              <w:rPr>
                <w:rFonts w:ascii="黑体" w:hAnsi="黑体" w:eastAsia="黑体"/>
                <w:b/>
                <w:bCs/>
                <w:szCs w:val="21"/>
              </w:rPr>
            </w:pPr>
            <w:r>
              <w:rPr>
                <w:rFonts w:hint="eastAsia" w:ascii="黑体" w:hAnsi="黑体" w:eastAsia="黑体"/>
                <w:b/>
                <w:bCs/>
                <w:kern w:val="0"/>
                <w:szCs w:val="21"/>
              </w:rPr>
              <w:t>三、本年度办理结果</w:t>
            </w:r>
          </w:p>
        </w:tc>
        <w:tc>
          <w:tcPr>
            <w:tcW w:w="4677" w:type="dxa"/>
            <w:gridSpan w:val="2"/>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center"/>
              <w:rPr>
                <w:rFonts w:ascii="黑体" w:hAnsi="黑体" w:eastAsia="黑体"/>
                <w:b/>
                <w:bCs/>
                <w:szCs w:val="21"/>
              </w:rPr>
            </w:pPr>
          </w:p>
        </w:tc>
        <w:tc>
          <w:tcPr>
            <w:tcW w:w="4677" w:type="dxa"/>
            <w:gridSpan w:val="2"/>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（二）部分公开（</w:t>
            </w:r>
            <w:bookmarkStart w:id="1" w:name="_Hlk66973981"/>
            <w:r>
              <w:rPr>
                <w:rFonts w:hint="eastAsia" w:ascii="黑体" w:hAnsi="黑体" w:eastAsia="黑体"/>
                <w:b/>
                <w:bCs/>
                <w:kern w:val="0"/>
                <w:szCs w:val="21"/>
              </w:rPr>
              <w:t>区分处理的，只计这一情形，不计其他情形</w:t>
            </w:r>
            <w:bookmarkEnd w:id="1"/>
            <w:r>
              <w:rPr>
                <w:rFonts w:hint="eastAsia" w:ascii="黑体" w:hAnsi="黑体" w:eastAsia="黑体"/>
                <w:b/>
                <w:bCs/>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b/>
                <w:bCs/>
                <w:szCs w:val="21"/>
              </w:rPr>
            </w:pPr>
            <w:r>
              <w:rPr>
                <w:rFonts w:hint="eastAsia" w:ascii="黑体" w:hAnsi="黑体" w:eastAsia="黑体"/>
                <w:b/>
                <w:bCs/>
                <w:kern w:val="0"/>
                <w:szCs w:val="21"/>
              </w:rPr>
              <w:t>（三）不予公开</w:t>
            </w: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2.</w:t>
            </w:r>
            <w:bookmarkStart w:id="2" w:name="_Hlk66974104"/>
            <w:r>
              <w:rPr>
                <w:rFonts w:hint="eastAsia" w:ascii="仿宋_GB2312" w:hAnsi="黑体" w:eastAsia="仿宋_GB2312"/>
                <w:b/>
                <w:bCs/>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4.</w:t>
            </w:r>
            <w:bookmarkStart w:id="3" w:name="_Hlk66974290"/>
            <w:r>
              <w:rPr>
                <w:rFonts w:hint="eastAsia" w:ascii="仿宋_GB2312" w:hAnsi="黑体" w:eastAsia="仿宋_GB2312"/>
                <w:b/>
                <w:bCs/>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6.</w:t>
            </w:r>
            <w:bookmarkStart w:id="4" w:name="_Hlk66974555"/>
            <w:r>
              <w:rPr>
                <w:rFonts w:hint="eastAsia" w:ascii="仿宋_GB2312" w:hAnsi="黑体" w:eastAsia="仿宋_GB2312"/>
                <w:b/>
                <w:bCs/>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8.</w:t>
            </w:r>
            <w:bookmarkStart w:id="5" w:name="_Hlk66975211"/>
            <w:r>
              <w:rPr>
                <w:rFonts w:hint="eastAsia" w:ascii="仿宋_GB2312" w:hAnsi="黑体" w:eastAsia="仿宋_GB2312"/>
                <w:b/>
                <w:bCs/>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b/>
                <w:bCs/>
                <w:szCs w:val="21"/>
              </w:rPr>
            </w:pPr>
            <w:r>
              <w:rPr>
                <w:rFonts w:hint="eastAsia" w:ascii="黑体" w:hAnsi="黑体" w:eastAsia="黑体"/>
                <w:b/>
                <w:bCs/>
                <w:kern w:val="0"/>
                <w:szCs w:val="21"/>
              </w:rPr>
              <w:t>（四）无法提供</w:t>
            </w: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2.</w:t>
            </w:r>
            <w:bookmarkStart w:id="6" w:name="_Hlk66975392"/>
            <w:r>
              <w:rPr>
                <w:rFonts w:hint="eastAsia" w:ascii="仿宋_GB2312" w:hAnsi="黑体" w:eastAsia="仿宋_GB2312"/>
                <w:b/>
                <w:bCs/>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3.</w:t>
            </w:r>
            <w:bookmarkStart w:id="7" w:name="_Hlk66975466"/>
            <w:r>
              <w:rPr>
                <w:rFonts w:hint="eastAsia" w:ascii="仿宋_GB2312" w:hAnsi="黑体" w:eastAsia="仿宋_GB2312"/>
                <w:b/>
                <w:bCs/>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b/>
                <w:bCs/>
                <w:szCs w:val="21"/>
              </w:rPr>
            </w:pPr>
            <w:r>
              <w:rPr>
                <w:rFonts w:hint="eastAsia" w:ascii="黑体" w:hAnsi="黑体" w:eastAsia="黑体"/>
                <w:b/>
                <w:bCs/>
                <w:kern w:val="0"/>
                <w:szCs w:val="21"/>
              </w:rPr>
              <w:t>（五）不予处理</w:t>
            </w: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1.</w:t>
            </w:r>
            <w:bookmarkStart w:id="8" w:name="_Hlk66975537"/>
            <w:r>
              <w:rPr>
                <w:rFonts w:hint="eastAsia" w:ascii="仿宋_GB2312" w:hAnsi="黑体" w:eastAsia="仿宋_GB2312"/>
                <w:b/>
                <w:bCs/>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kern w:val="0"/>
                <w:szCs w:val="21"/>
              </w:rPr>
            </w:pPr>
            <w:r>
              <w:rPr>
                <w:rFonts w:hint="eastAsia" w:ascii="仿宋_GB2312" w:hAnsi="黑体" w:eastAsia="仿宋_GB2312"/>
                <w:b/>
                <w:bCs/>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szCs w:val="21"/>
              </w:rPr>
            </w:pPr>
            <w:r>
              <w:rPr>
                <w:rFonts w:hint="eastAsia" w:ascii="仿宋_GB2312" w:hAnsi="黑体" w:eastAsia="仿宋_GB2312"/>
                <w:b/>
                <w:bCs/>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jc w:val="center"/>
              <w:rPr>
                <w:rFonts w:ascii="仿宋_GB2312" w:hAnsi="黑体" w:eastAsia="仿宋_GB2312"/>
                <w:b/>
                <w:bCs/>
                <w:szCs w:val="21"/>
              </w:rPr>
            </w:pPr>
            <w:r>
              <w:rPr>
                <w:rFonts w:hint="eastAsia" w:ascii="仿宋_GB2312" w:hAnsi="黑体" w:eastAsia="仿宋_GB2312"/>
                <w:b/>
                <w:bCs/>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300" w:lineRule="exact"/>
              <w:jc w:val="center"/>
              <w:rPr>
                <w:rFonts w:ascii="仿宋_GB2312" w:hAnsi="黑体" w:eastAsia="仿宋_GB2312"/>
                <w:b/>
                <w:bCs/>
                <w:kern w:val="0"/>
                <w:szCs w:val="21"/>
              </w:rPr>
            </w:pPr>
            <w:r>
              <w:rPr>
                <w:rFonts w:hint="eastAsia" w:ascii="仿宋_GB2312" w:hAnsi="黑体" w:eastAsia="仿宋_GB2312"/>
                <w:b/>
                <w:bCs/>
                <w:kern w:val="0"/>
                <w:szCs w:val="21"/>
              </w:rPr>
              <w:t>5.要求行政机关确认或重新</w:t>
            </w:r>
          </w:p>
          <w:p>
            <w:pPr>
              <w:widowControl/>
              <w:spacing w:line="300" w:lineRule="exact"/>
              <w:ind w:firstLine="211" w:firstLineChars="100"/>
              <w:jc w:val="left"/>
              <w:rPr>
                <w:rFonts w:ascii="仿宋_GB2312" w:hAnsi="黑体" w:eastAsia="仿宋_GB2312"/>
                <w:b/>
                <w:bCs/>
                <w:szCs w:val="21"/>
              </w:rPr>
            </w:pPr>
            <w:r>
              <w:rPr>
                <w:rFonts w:hint="eastAsia" w:ascii="仿宋_GB2312" w:hAnsi="黑体" w:eastAsia="仿宋_GB2312"/>
                <w:b/>
                <w:bCs/>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b/>
                <w:bCs/>
                <w:kern w:val="0"/>
                <w:szCs w:val="21"/>
              </w:rPr>
            </w:pPr>
            <w:r>
              <w:rPr>
                <w:rFonts w:hint="eastAsia" w:ascii="黑体" w:hAnsi="黑体" w:eastAsia="黑体"/>
                <w:b/>
                <w:bCs/>
                <w:kern w:val="0"/>
                <w:szCs w:val="21"/>
              </w:rPr>
              <w:t>（六）其他处理</w:t>
            </w:r>
          </w:p>
        </w:tc>
        <w:tc>
          <w:tcPr>
            <w:tcW w:w="2976" w:type="dxa"/>
            <w:shd w:val="clear" w:color="auto" w:fill="auto"/>
            <w:vAlign w:val="center"/>
          </w:tcPr>
          <w:p>
            <w:pPr>
              <w:widowControl/>
              <w:spacing w:line="300" w:lineRule="exact"/>
              <w:jc w:val="left"/>
              <w:rPr>
                <w:rFonts w:ascii="仿宋_GB2312" w:hAnsi="楷体" w:eastAsia="仿宋_GB2312"/>
                <w:b/>
                <w:bCs/>
              </w:rPr>
            </w:pPr>
            <w:r>
              <w:rPr>
                <w:rFonts w:hint="eastAsia" w:ascii="仿宋_GB2312" w:hAnsi="楷体" w:eastAsia="仿宋_GB2312"/>
                <w:b/>
                <w:bCs/>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b/>
                <w:bCs/>
                <w:kern w:val="0"/>
                <w:szCs w:val="21"/>
              </w:rPr>
            </w:pPr>
          </w:p>
        </w:tc>
        <w:tc>
          <w:tcPr>
            <w:tcW w:w="2976" w:type="dxa"/>
            <w:shd w:val="clear" w:color="auto" w:fill="auto"/>
            <w:vAlign w:val="center"/>
          </w:tcPr>
          <w:p>
            <w:pPr>
              <w:widowControl/>
              <w:spacing w:line="300" w:lineRule="exact"/>
              <w:jc w:val="left"/>
              <w:rPr>
                <w:rFonts w:ascii="仿宋_GB2312" w:hAnsi="黑体" w:eastAsia="仿宋_GB2312"/>
                <w:b/>
                <w:bCs/>
                <w:kern w:val="0"/>
                <w:szCs w:val="21"/>
              </w:rPr>
            </w:pPr>
            <w:r>
              <w:rPr>
                <w:rFonts w:hint="eastAsia" w:ascii="仿宋_GB2312" w:hAnsi="楷体" w:eastAsia="仿宋_GB2312"/>
                <w:b/>
                <w:bCs/>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b/>
                <w:bCs/>
                <w:kern w:val="0"/>
                <w:szCs w:val="21"/>
              </w:rPr>
            </w:pPr>
          </w:p>
        </w:tc>
        <w:tc>
          <w:tcPr>
            <w:tcW w:w="2976" w:type="dxa"/>
            <w:shd w:val="clear" w:color="auto" w:fill="auto"/>
            <w:vAlign w:val="center"/>
          </w:tcPr>
          <w:p>
            <w:pPr>
              <w:widowControl/>
              <w:spacing w:line="300" w:lineRule="exact"/>
              <w:jc w:val="center"/>
              <w:rPr>
                <w:rFonts w:ascii="仿宋_GB2312" w:hAnsi="黑体" w:eastAsia="仿宋_GB2312"/>
                <w:b/>
                <w:bCs/>
                <w:kern w:val="0"/>
                <w:szCs w:val="21"/>
              </w:rPr>
            </w:pPr>
            <w:r>
              <w:rPr>
                <w:rFonts w:hint="eastAsia" w:ascii="仿宋_GB2312" w:hAnsi="楷体" w:eastAsia="仿宋_GB2312"/>
                <w:b/>
                <w:bCs/>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center"/>
              <w:rPr>
                <w:rFonts w:ascii="黑体" w:hAnsi="黑体" w:eastAsia="黑体"/>
                <w:b/>
                <w:bCs/>
                <w:szCs w:val="21"/>
              </w:rPr>
            </w:pPr>
          </w:p>
        </w:tc>
        <w:tc>
          <w:tcPr>
            <w:tcW w:w="4677" w:type="dxa"/>
            <w:gridSpan w:val="2"/>
            <w:shd w:val="clear" w:color="auto" w:fill="auto"/>
            <w:tcMar>
              <w:left w:w="108" w:type="dxa"/>
              <w:right w:w="108" w:type="dxa"/>
            </w:tcMar>
            <w:vAlign w:val="center"/>
          </w:tcPr>
          <w:p>
            <w:pPr>
              <w:widowControl/>
              <w:spacing w:line="300" w:lineRule="exact"/>
              <w:jc w:val="center"/>
              <w:rPr>
                <w:rFonts w:ascii="黑体" w:hAnsi="黑体" w:eastAsia="黑体"/>
                <w:b/>
                <w:bCs/>
                <w:kern w:val="0"/>
                <w:szCs w:val="21"/>
              </w:rPr>
            </w:pPr>
            <w:r>
              <w:rPr>
                <w:rFonts w:hint="eastAsia" w:ascii="黑体" w:hAnsi="黑体" w:eastAsia="黑体"/>
                <w:b/>
                <w:bCs/>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jc w:val="center"/>
              <w:rPr>
                <w:rFonts w:ascii="黑体" w:hAnsi="黑体" w:eastAsia="黑体"/>
                <w:b/>
                <w:bCs/>
                <w:kern w:val="0"/>
                <w:szCs w:val="21"/>
              </w:rPr>
            </w:pPr>
            <w:r>
              <w:rPr>
                <w:rFonts w:hint="eastAsia" w:ascii="黑体" w:hAnsi="黑体" w:eastAsia="黑体"/>
                <w:b/>
                <w:bCs/>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bl>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（四）因政府信息公开工作被申请行政复议、提起行政诉讼情况</w:t>
      </w:r>
    </w:p>
    <w:p>
      <w:pPr>
        <w:jc w:val="center"/>
        <w:rPr>
          <w:rFonts w:ascii="仿宋_GB2312" w:eastAsia="仿宋_GB2312"/>
          <w:b/>
          <w:bCs/>
          <w:sz w:val="28"/>
          <w:szCs w:val="28"/>
        </w:rPr>
      </w:pPr>
      <w:r>
        <w:rPr>
          <w:rFonts w:hint="eastAsia" w:ascii="仿宋_GB2312" w:eastAsia="仿宋_GB2312"/>
          <w:b/>
          <w:bCs/>
          <w:sz w:val="28"/>
          <w:szCs w:val="28"/>
        </w:rPr>
        <w:t>表3</w:t>
      </w:r>
      <w:r>
        <w:rPr>
          <w:rFonts w:ascii="仿宋_GB2312" w:eastAsia="仿宋_GB2312"/>
          <w:b/>
          <w:bCs/>
          <w:sz w:val="28"/>
          <w:szCs w:val="28"/>
        </w:rPr>
        <w:t xml:space="preserve"> </w:t>
      </w:r>
      <w:r>
        <w:rPr>
          <w:rFonts w:hint="eastAsia" w:ascii="仿宋_GB2312" w:eastAsia="仿宋_GB2312"/>
          <w:b/>
          <w:bCs/>
          <w:sz w:val="28"/>
          <w:szCs w:val="28"/>
        </w:rPr>
        <w:t>因政府信息公开工作被申请行政复议、提起行政诉讼情况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b/>
                <w:bCs/>
                <w:kern w:val="0"/>
                <w:sz w:val="20"/>
                <w:szCs w:val="20"/>
              </w:rPr>
            </w:pPr>
            <w:r>
              <w:rPr>
                <w:rFonts w:ascii="黑体" w:hAnsi="黑体" w:eastAsia="黑体"/>
                <w:b/>
                <w:bCs/>
                <w:kern w:val="0"/>
                <w:sz w:val="20"/>
                <w:szCs w:val="20"/>
              </w:rPr>
              <w:t>结果</w:t>
            </w:r>
          </w:p>
          <w:p>
            <w:pPr>
              <w:widowControl/>
              <w:ind w:left="-149" w:leftChars="-71" w:right="-170" w:rightChars="-81"/>
              <w:jc w:val="center"/>
              <w:rPr>
                <w:rFonts w:ascii="黑体" w:hAnsi="黑体" w:eastAsia="黑体"/>
                <w:b/>
                <w:bCs/>
              </w:rPr>
            </w:pPr>
            <w:r>
              <w:rPr>
                <w:rFonts w:ascii="黑体" w:hAnsi="黑体" w:eastAsia="黑体"/>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b/>
                <w:bCs/>
              </w:rPr>
            </w:pPr>
            <w:r>
              <w:rPr>
                <w:rFonts w:ascii="黑体" w:hAnsi="黑体" w:eastAsia="黑体"/>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b/>
                <w:bCs/>
              </w:rPr>
            </w:pPr>
            <w:r>
              <w:rPr>
                <w:rFonts w:ascii="黑体" w:hAnsi="黑体" w:eastAsia="黑体"/>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b/>
                <w:bCs/>
                <w:kern w:val="0"/>
                <w:sz w:val="20"/>
                <w:szCs w:val="20"/>
              </w:rPr>
            </w:pPr>
            <w:r>
              <w:rPr>
                <w:rFonts w:ascii="黑体" w:hAnsi="黑体" w:eastAsia="黑体"/>
                <w:b/>
                <w:bCs/>
                <w:kern w:val="0"/>
                <w:sz w:val="20"/>
                <w:szCs w:val="20"/>
              </w:rPr>
              <w:t>尚未</w:t>
            </w:r>
          </w:p>
          <w:p>
            <w:pPr>
              <w:widowControl/>
              <w:ind w:left="-118" w:leftChars="-56" w:right="-118" w:rightChars="-56"/>
              <w:jc w:val="center"/>
              <w:rPr>
                <w:rFonts w:ascii="黑体" w:hAnsi="黑体" w:eastAsia="黑体"/>
                <w:b/>
                <w:bCs/>
              </w:rPr>
            </w:pPr>
            <w:r>
              <w:rPr>
                <w:rFonts w:ascii="黑体" w:hAnsi="黑体" w:eastAsia="黑体"/>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b/>
                <w:bCs/>
                <w:kern w:val="0"/>
                <w:sz w:val="20"/>
                <w:szCs w:val="20"/>
              </w:rPr>
            </w:pPr>
            <w:r>
              <w:rPr>
                <w:rFonts w:ascii="黑体" w:hAnsi="黑体" w:eastAsia="黑体"/>
                <w:b/>
                <w:bCs/>
                <w:kern w:val="0"/>
                <w:sz w:val="20"/>
                <w:szCs w:val="20"/>
              </w:rPr>
              <w:t>总</w:t>
            </w:r>
          </w:p>
          <w:p>
            <w:pPr>
              <w:widowControl/>
              <w:spacing w:line="320" w:lineRule="exact"/>
              <w:jc w:val="center"/>
              <w:rPr>
                <w:rFonts w:ascii="黑体" w:hAnsi="黑体" w:eastAsia="黑体"/>
                <w:b/>
                <w:bCs/>
              </w:rPr>
            </w:pPr>
            <w:r>
              <w:rPr>
                <w:rFonts w:ascii="黑体" w:hAnsi="黑体" w:eastAsia="黑体"/>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bookmarkStart w:id="9" w:name="_Hlk67039688"/>
            <w:r>
              <w:rPr>
                <w:rFonts w:ascii="黑体" w:hAnsi="黑体" w:eastAsia="黑体"/>
                <w:b/>
                <w:bCs/>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b/>
                <w:bCs/>
              </w:rPr>
            </w:pPr>
            <w:r>
              <w:rPr>
                <w:rFonts w:ascii="黑体" w:hAnsi="黑体" w:eastAsia="黑体"/>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b/>
                <w:bCs/>
              </w:rPr>
            </w:pPr>
            <w:r>
              <w:rPr>
                <w:rFonts w:ascii="黑体" w:hAnsi="黑体" w:eastAsia="黑体"/>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b/>
                <w:bCs/>
                <w:kern w:val="0"/>
                <w:sz w:val="20"/>
                <w:szCs w:val="20"/>
              </w:rPr>
            </w:pPr>
            <w:r>
              <w:rPr>
                <w:rFonts w:ascii="黑体" w:hAnsi="黑体" w:eastAsia="黑体"/>
                <w:b/>
                <w:bCs/>
                <w:kern w:val="0"/>
                <w:sz w:val="20"/>
                <w:szCs w:val="20"/>
              </w:rPr>
              <w:t>其他</w:t>
            </w:r>
          </w:p>
          <w:p>
            <w:pPr>
              <w:widowControl/>
              <w:ind w:left="-126" w:leftChars="-60" w:right="-136" w:rightChars="-65"/>
              <w:jc w:val="center"/>
              <w:rPr>
                <w:rFonts w:ascii="黑体" w:hAnsi="黑体" w:eastAsia="黑体"/>
                <w:b/>
                <w:bCs/>
              </w:rPr>
            </w:pPr>
            <w:r>
              <w:rPr>
                <w:rFonts w:ascii="黑体" w:hAnsi="黑体" w:eastAsia="黑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b/>
                <w:bCs/>
                <w:kern w:val="0"/>
                <w:sz w:val="20"/>
                <w:szCs w:val="20"/>
              </w:rPr>
            </w:pPr>
            <w:r>
              <w:rPr>
                <w:rFonts w:ascii="黑体" w:hAnsi="黑体" w:eastAsia="黑体"/>
                <w:b/>
                <w:bCs/>
                <w:kern w:val="0"/>
                <w:sz w:val="20"/>
                <w:szCs w:val="20"/>
              </w:rPr>
              <w:t>尚未</w:t>
            </w:r>
          </w:p>
          <w:p>
            <w:pPr>
              <w:widowControl/>
              <w:ind w:left="-164" w:leftChars="-78" w:right="-153" w:rightChars="-73"/>
              <w:jc w:val="center"/>
              <w:rPr>
                <w:rFonts w:ascii="黑体" w:hAnsi="黑体" w:eastAsia="黑体"/>
                <w:b/>
                <w:bCs/>
              </w:rPr>
            </w:pPr>
            <w:r>
              <w:rPr>
                <w:rFonts w:ascii="黑体" w:hAnsi="黑体" w:eastAsia="黑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b/>
                <w:bCs/>
              </w:rPr>
            </w:pPr>
            <w:r>
              <w:rPr>
                <w:rFonts w:ascii="黑体" w:hAnsi="黑体" w:eastAsia="黑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b/>
                <w:bCs/>
                <w:kern w:val="0"/>
                <w:sz w:val="20"/>
                <w:szCs w:val="20"/>
              </w:rPr>
            </w:pPr>
            <w:r>
              <w:rPr>
                <w:rFonts w:ascii="黑体" w:hAnsi="黑体" w:eastAsia="黑体"/>
                <w:b/>
                <w:bCs/>
                <w:kern w:val="0"/>
                <w:sz w:val="20"/>
                <w:szCs w:val="20"/>
              </w:rPr>
              <w:t>结果</w:t>
            </w:r>
          </w:p>
          <w:p>
            <w:pPr>
              <w:widowControl/>
              <w:ind w:left="-136" w:leftChars="-65" w:right="-124" w:rightChars="-59"/>
              <w:jc w:val="center"/>
              <w:rPr>
                <w:rFonts w:ascii="黑体" w:hAnsi="黑体" w:eastAsia="黑体"/>
                <w:b/>
                <w:bCs/>
              </w:rPr>
            </w:pPr>
            <w:r>
              <w:rPr>
                <w:rFonts w:ascii="黑体" w:hAnsi="黑体" w:eastAsia="黑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b/>
                <w:bCs/>
                <w:kern w:val="0"/>
                <w:sz w:val="20"/>
                <w:szCs w:val="20"/>
              </w:rPr>
            </w:pPr>
            <w:r>
              <w:rPr>
                <w:rFonts w:ascii="黑体" w:hAnsi="黑体" w:eastAsia="黑体"/>
                <w:b/>
                <w:bCs/>
                <w:kern w:val="0"/>
                <w:sz w:val="20"/>
                <w:szCs w:val="20"/>
              </w:rPr>
              <w:t>其他</w:t>
            </w:r>
          </w:p>
          <w:p>
            <w:pPr>
              <w:widowControl/>
              <w:ind w:left="-173" w:leftChars="-83" w:right="-134" w:rightChars="-64" w:hanging="1"/>
              <w:jc w:val="center"/>
              <w:rPr>
                <w:rFonts w:ascii="黑体" w:hAnsi="黑体" w:eastAsia="黑体"/>
                <w:b/>
                <w:bCs/>
              </w:rPr>
            </w:pPr>
            <w:r>
              <w:rPr>
                <w:rFonts w:ascii="黑体" w:hAnsi="黑体" w:eastAsia="黑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b/>
                <w:bCs/>
              </w:rPr>
            </w:pPr>
            <w:r>
              <w:rPr>
                <w:rFonts w:ascii="黑体" w:hAnsi="黑体" w:eastAsia="黑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r>
    </w:tbl>
    <w:p>
      <w:pPr>
        <w:spacing w:line="600" w:lineRule="exact"/>
        <w:ind w:firstLine="643" w:firstLineChars="200"/>
        <w:rPr>
          <w:rFonts w:hint="eastAsia" w:ascii="楷体_GB2312" w:eastAsia="楷体_GB2312"/>
          <w:b/>
          <w:bCs/>
          <w:sz w:val="32"/>
          <w:szCs w:val="32"/>
        </w:rPr>
      </w:pPr>
      <w:r>
        <w:rPr>
          <w:rFonts w:hint="eastAsia" w:ascii="楷体_GB2312" w:eastAsia="楷体_GB2312"/>
          <w:b/>
          <w:bCs/>
          <w:sz w:val="32"/>
          <w:szCs w:val="32"/>
        </w:rPr>
        <w:t>（五）政府信息公开工作存在的主要问题及改进情况</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1.2022年问题整改情况。县商务局政务公开工作由局办公室一名工作人员负责，及时向县政府政务公开科工作人员汇报政务公开情况。积极参加政务公开工作业务培训，对《政府信息公开条例》等文件进行学习，提高工作人员能力素质，落实上级公开要求。</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2.2023年存在的主要问题。2023年，我局信息公开工作还存在一些问题和不足，一是对《政府信息公开条例》等文件的学习不够，对文件精神领悟不深，需进一步改善和加强；二是对政务信息公开的形式还存在一定局限，需要探索拓展公开渠道。</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3.下步整改措施。我局将切实落实县政府对政务公开工作的要求，继续坚持以公开为常态、不公开为例外，深入推进政务公开工作。一是进一步强化信息公开的意识，完善信息公开实施细则，特别是针对政府信息公开群众意见建议进行分析，了解需求。二是加强信息公开专业指导，多向信息公开主管部门进行咨询，强化对于公开事项的认识，加强对工作人员的理论学习和实践锻炼，扎实推进信息公开工作。三是学习兄弟机关单位的好做法，收集新情况，总结新经验，及时处理咨询和相关申请工作，认真做好相关记录，做到件件有着落，事事有回音，主动接受社会监督，为广大社会公众提供服务。</w:t>
      </w: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（六）其他需要报告的事项</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1.收取信息处理费情况。</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按照《国务院办公厅关于印发〈政府信息公开信息处理费管理办法〉的通知》（国办函〔2020〕109号）有关规定，我局全年没有产生信息公开处理费。</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2.落实上级年度政务公开工作要点情况。</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按照</w:t>
      </w:r>
      <w:r>
        <w:rPr>
          <w:rFonts w:hint="eastAsia" w:ascii="仿宋_GB2312" w:eastAsia="仿宋_GB2312"/>
          <w:b/>
          <w:bCs/>
          <w:color w:val="auto"/>
          <w:sz w:val="32"/>
          <w:szCs w:val="32"/>
          <w:lang w:val="en-US" w:eastAsia="zh-CN"/>
        </w:rPr>
        <w:t>《2023年昌乐县政务公开重点工作任务分工》</w:t>
      </w:r>
      <w:r>
        <w:rPr>
          <w:rFonts w:hint="eastAsia" w:ascii="仿宋_GB2312" w:eastAsia="仿宋_GB2312"/>
          <w:b/>
          <w:bCs/>
          <w:sz w:val="32"/>
          <w:szCs w:val="32"/>
          <w:lang w:val="en-US" w:eastAsia="zh-CN"/>
        </w:rPr>
        <w:t>，县商务局强化组织领导，完善机关政务公开机制，结合商务运行等重点业务定期更新工作信息，推进政策宣传助力优化营商环境，各项工作顺利开展，涉及责任事项全部落实到位。</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3.人大代表建议和政协提案办理情况。</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2023年我局牵头承办了5件政协委员提案，满意率均达到100%，已通过中国·昌乐门户网站进行了公开。</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4.年度政务公开工作创新情况。</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建立局政务公开信息考核制度，强化了各科室主动公开政务信息的积极性，全局政务公开效率得到显著提升。</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5.报告数据统计说明。</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本报告所列数据统计期限为2023年1月1日至2023年12月31日。</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6.本行政机关认为需要报告的其他事项。</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无。</w:t>
      </w:r>
    </w:p>
    <w:p>
      <w:pPr>
        <w:spacing w:line="60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7.其他有关文件专门要求报告的事项。</w:t>
      </w:r>
    </w:p>
    <w:p>
      <w:pPr>
        <w:spacing w:line="60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无。 </w:t>
      </w:r>
    </w:p>
    <w:p>
      <w:pPr>
        <w:spacing w:line="600" w:lineRule="exact"/>
        <w:ind w:firstLine="643" w:firstLineChars="200"/>
        <w:rPr>
          <w:rFonts w:hint="default" w:ascii="仿宋_GB2312" w:eastAsia="仿宋_GB2312"/>
          <w:b/>
          <w:bCs/>
          <w:sz w:val="32"/>
          <w:szCs w:val="32"/>
          <w:lang w:val="en-US" w:eastAsia="zh-CN"/>
        </w:rPr>
      </w:pPr>
    </w:p>
    <w:p>
      <w:pPr>
        <w:spacing w:line="600" w:lineRule="exact"/>
        <w:ind w:firstLine="643" w:firstLineChars="200"/>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 xml:space="preserve">                        昌乐县商务局</w:t>
      </w:r>
    </w:p>
    <w:p>
      <w:pPr>
        <w:spacing w:line="600" w:lineRule="exact"/>
        <w:ind w:firstLine="643" w:firstLineChars="200"/>
        <w:jc w:val="center"/>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 xml:space="preserve">                        2024年1月19日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1YjM1MjUzMDc3OWNiOWRkNjIxNjU2YjkxZTE5Mjg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4D405F8"/>
    <w:rsid w:val="0CFB4251"/>
    <w:rsid w:val="149437A1"/>
    <w:rsid w:val="20AF24D3"/>
    <w:rsid w:val="21FD6E4B"/>
    <w:rsid w:val="276709BA"/>
    <w:rsid w:val="282A2D95"/>
    <w:rsid w:val="36853990"/>
    <w:rsid w:val="44292F78"/>
    <w:rsid w:val="46346665"/>
    <w:rsid w:val="492D0381"/>
    <w:rsid w:val="4ADD2CA9"/>
    <w:rsid w:val="52307A13"/>
    <w:rsid w:val="54B1394E"/>
    <w:rsid w:val="57C9413D"/>
    <w:rsid w:val="5F746EB4"/>
    <w:rsid w:val="644A765F"/>
    <w:rsid w:val="64920C96"/>
    <w:rsid w:val="654B5701"/>
    <w:rsid w:val="6A7D30C3"/>
    <w:rsid w:val="6ECC7069"/>
    <w:rsid w:val="733D22CC"/>
    <w:rsid w:val="7C95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日期 字符"/>
    <w:basedOn w:val="6"/>
    <w:link w:val="2"/>
    <w:autoRedefine/>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2831</Words>
  <Characters>2920</Characters>
  <Lines>30</Lines>
  <Paragraphs>8</Paragraphs>
  <TotalTime>29</TotalTime>
  <ScaleCrop>false</ScaleCrop>
  <LinksUpToDate>false</LinksUpToDate>
  <CharactersWithSpaces>2959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 先生</cp:lastModifiedBy>
  <cp:lastPrinted>2024-01-02T08:50:00Z</cp:lastPrinted>
  <dcterms:modified xsi:type="dcterms:W3CDTF">2024-01-25T00:54:30Z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C14BB5D522504700957DB785014AA7BA_13</vt:lpwstr>
  </property>
</Properties>
</file>