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文星标宋" w:hAnsi="文星标宋" w:eastAsia="文星标宋" w:cs="文星标宋"/>
          <w:b w:val="0"/>
          <w:bCs w:val="0"/>
          <w:i w:val="0"/>
          <w:iCs w:val="0"/>
          <w:caps w:val="0"/>
          <w:color w:val="auto"/>
          <w:spacing w:val="0"/>
          <w:w w:val="90"/>
          <w:sz w:val="44"/>
          <w:szCs w:val="4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文星标宋" w:hAnsi="文星标宋" w:eastAsia="文星标宋" w:cs="文星标宋"/>
          <w:b w:val="0"/>
          <w:bCs w:val="0"/>
          <w:i w:val="0"/>
          <w:iCs w:val="0"/>
          <w:caps w:val="0"/>
          <w:color w:val="auto"/>
          <w:spacing w:val="0"/>
          <w:w w:val="90"/>
          <w:sz w:val="44"/>
          <w:szCs w:val="44"/>
          <w:shd w:val="clear" w:fill="FFFFFF"/>
          <w:lang w:val="en-US" w:eastAsia="zh-CN"/>
        </w:rPr>
      </w:pPr>
      <w:bookmarkStart w:id="0" w:name="_GoBack"/>
      <w:r>
        <w:rPr>
          <w:rFonts w:hint="eastAsia" w:ascii="文星标宋" w:hAnsi="文星标宋" w:eastAsia="文星标宋" w:cs="文星标宋"/>
          <w:b w:val="0"/>
          <w:bCs w:val="0"/>
          <w:i w:val="0"/>
          <w:iCs w:val="0"/>
          <w:caps w:val="0"/>
          <w:color w:val="auto"/>
          <w:spacing w:val="0"/>
          <w:w w:val="90"/>
          <w:sz w:val="44"/>
          <w:szCs w:val="44"/>
          <w:shd w:val="clear" w:fill="FFFFFF"/>
          <w:lang w:val="en-US" w:eastAsia="zh-CN"/>
        </w:rPr>
        <w:t>昌乐县信访局2024年政府信息公开工作年度报告</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根据《中华人民共和国政府信息公开条例》</w:t>
      </w:r>
      <w:r>
        <w:rPr>
          <w:rFonts w:hint="eastAsia" w:ascii="仿宋_GB2312" w:hAnsi="仿宋_GB2312" w:eastAsia="仿宋_GB2312" w:cs="仿宋_GB2312"/>
          <w:i w:val="0"/>
          <w:iCs w:val="0"/>
          <w:caps w:val="0"/>
          <w:color w:val="auto"/>
          <w:spacing w:val="0"/>
          <w:sz w:val="32"/>
          <w:szCs w:val="32"/>
          <w:lang w:val="en-US" w:eastAsia="zh-CN"/>
        </w:rPr>
        <w:t>和《国务院办公厅政府信息与政务公开办公室关于印发&lt;中华人民共和国政府信息公开工作年度报告格式&gt;的通知》(国办公开办函〔2021〕30号)</w:t>
      </w:r>
      <w:r>
        <w:rPr>
          <w:rFonts w:hint="eastAsia" w:ascii="仿宋_GB2312" w:hAnsi="仿宋_GB2312" w:eastAsia="仿宋_GB2312" w:cs="仿宋_GB2312"/>
          <w:i w:val="0"/>
          <w:iCs w:val="0"/>
          <w:caps w:val="0"/>
          <w:color w:val="auto"/>
          <w:spacing w:val="0"/>
          <w:sz w:val="32"/>
          <w:szCs w:val="32"/>
        </w:rPr>
        <w:t>要求，</w:t>
      </w:r>
      <w:r>
        <w:rPr>
          <w:rFonts w:hint="eastAsia" w:ascii="仿宋_GB2312" w:hAnsi="仿宋_GB2312" w:eastAsia="仿宋_GB2312" w:cs="仿宋_GB2312"/>
          <w:i w:val="0"/>
          <w:iCs w:val="0"/>
          <w:caps w:val="0"/>
          <w:color w:val="auto"/>
          <w:spacing w:val="0"/>
          <w:sz w:val="32"/>
          <w:szCs w:val="32"/>
          <w:lang w:val="en-US" w:eastAsia="zh-CN"/>
        </w:rPr>
        <w:t>发布昌乐县信访局2024年政府信息公开工作年度报告</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内容</w:t>
      </w:r>
      <w:r>
        <w:rPr>
          <w:rFonts w:hint="eastAsia" w:ascii="仿宋_GB2312" w:hAnsi="仿宋_GB2312" w:eastAsia="仿宋_GB2312" w:cs="仿宋_GB2312"/>
          <w:i w:val="0"/>
          <w:iCs w:val="0"/>
          <w:caps w:val="0"/>
          <w:color w:val="auto"/>
          <w:spacing w:val="0"/>
          <w:sz w:val="32"/>
          <w:szCs w:val="32"/>
        </w:rPr>
        <w:t>包括总体情况、主动公开政府信息情况、收到和处理政府信息公开申请情况、政府信息公开行政复议和行政诉讼情况、存在的主要问题及改进情况、其他需要报告的事项等六个部分。本年度报告中所列数据统计期限从</w:t>
      </w:r>
      <w:r>
        <w:rPr>
          <w:rFonts w:hint="eastAsia" w:ascii="仿宋_GB2312" w:hAnsi="仿宋_GB2312" w:eastAsia="仿宋_GB2312" w:cs="仿宋_GB2312"/>
          <w:i w:val="0"/>
          <w:iCs w:val="0"/>
          <w:caps w:val="0"/>
          <w:color w:val="auto"/>
          <w:spacing w:val="0"/>
          <w:sz w:val="32"/>
          <w:szCs w:val="32"/>
          <w:lang w:val="en-US" w:eastAsia="zh-CN"/>
        </w:rPr>
        <w:t>2024年</w:t>
      </w:r>
      <w:r>
        <w:rPr>
          <w:rFonts w:hint="eastAsia" w:ascii="仿宋_GB2312" w:hAnsi="仿宋_GB2312" w:eastAsia="仿宋_GB2312" w:cs="仿宋_GB2312"/>
          <w:i w:val="0"/>
          <w:iCs w:val="0"/>
          <w:caps w:val="0"/>
          <w:color w:val="auto"/>
          <w:spacing w:val="0"/>
          <w:sz w:val="32"/>
          <w:szCs w:val="32"/>
        </w:rPr>
        <w:t>1月1日到12月31日止。公众如需进一步咨询了解相关信息，请与</w:t>
      </w:r>
      <w:r>
        <w:rPr>
          <w:rFonts w:hint="eastAsia" w:ascii="仿宋_GB2312" w:hAnsi="仿宋_GB2312" w:eastAsia="仿宋_GB2312" w:cs="仿宋_GB2312"/>
          <w:i w:val="0"/>
          <w:iCs w:val="0"/>
          <w:caps w:val="0"/>
          <w:color w:val="auto"/>
          <w:spacing w:val="0"/>
          <w:sz w:val="32"/>
          <w:szCs w:val="32"/>
          <w:lang w:val="en-US" w:eastAsia="zh-CN"/>
        </w:rPr>
        <w:t>昌乐县信访局</w:t>
      </w:r>
      <w:r>
        <w:rPr>
          <w:rFonts w:hint="eastAsia" w:ascii="仿宋_GB2312" w:hAnsi="仿宋_GB2312" w:eastAsia="仿宋_GB2312" w:cs="仿宋_GB2312"/>
          <w:i w:val="0"/>
          <w:iCs w:val="0"/>
          <w:caps w:val="0"/>
          <w:color w:val="auto"/>
          <w:spacing w:val="0"/>
          <w:sz w:val="32"/>
          <w:szCs w:val="32"/>
        </w:rPr>
        <w:t>办公室联系（地址：</w:t>
      </w:r>
      <w:r>
        <w:rPr>
          <w:rFonts w:hint="eastAsia" w:ascii="仿宋_GB2312" w:hAnsi="仿宋_GB2312" w:eastAsia="仿宋_GB2312" w:cs="仿宋_GB2312"/>
          <w:i w:val="0"/>
          <w:iCs w:val="0"/>
          <w:caps w:val="0"/>
          <w:color w:val="auto"/>
          <w:spacing w:val="0"/>
          <w:sz w:val="32"/>
          <w:szCs w:val="32"/>
          <w:lang w:val="en-US" w:eastAsia="zh-CN"/>
        </w:rPr>
        <w:t>昌乐县城关商务社区1号楼106室</w:t>
      </w:r>
      <w:r>
        <w:rPr>
          <w:rFonts w:hint="eastAsia" w:ascii="仿宋_GB2312" w:hAnsi="仿宋_GB2312" w:eastAsia="仿宋_GB2312" w:cs="仿宋_GB2312"/>
          <w:i w:val="0"/>
          <w:iCs w:val="0"/>
          <w:caps w:val="0"/>
          <w:color w:val="auto"/>
          <w:spacing w:val="0"/>
          <w:sz w:val="32"/>
          <w:szCs w:val="32"/>
        </w:rPr>
        <w:t>，电话：0536-</w:t>
      </w:r>
      <w:r>
        <w:rPr>
          <w:rFonts w:hint="eastAsia" w:ascii="仿宋_GB2312" w:hAnsi="仿宋_GB2312" w:eastAsia="仿宋_GB2312" w:cs="仿宋_GB2312"/>
          <w:i w:val="0"/>
          <w:iCs w:val="0"/>
          <w:caps w:val="0"/>
          <w:color w:val="auto"/>
          <w:spacing w:val="0"/>
          <w:sz w:val="32"/>
          <w:szCs w:val="32"/>
          <w:lang w:val="en-US" w:eastAsia="zh-CN"/>
        </w:rPr>
        <w:t>6222250</w:t>
      </w:r>
      <w:r>
        <w:rPr>
          <w:rFonts w:hint="eastAsia" w:ascii="仿宋_GB2312" w:hAnsi="仿宋_GB2312" w:eastAsia="仿宋_GB2312" w:cs="仿宋_GB2312"/>
          <w:i w:val="0"/>
          <w:iCs w:val="0"/>
          <w:caps w:val="0"/>
          <w:color w:val="auto"/>
          <w:spacing w:val="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2024年，县信访局坚持以习近平新时代中国特色社会主义思想为指导，认真贯彻执行《中华人民共和国政府信息公开条例》，围绕全县政务公开工作总体要求，紧密结合信访工作实际，积极开展政府信息公开工作，着力提升政务公开质量，不断加强政务信息公开规范化、标准化和制度化建设，不断提升信访工作公信力和透明度，切实发挥以公开促规范、促落实、促服务的重要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lang w:val="en-US" w:eastAsia="zh-CN"/>
        </w:rPr>
        <w:t>一</w:t>
      </w: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rPr>
        <w:t>主动公开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根据工作需要，县信访局主要通过市政府门户网站政务公开专栏主动公开政务信息。坚持以“公开为常态、不公开为例外”原则，落实主动公开政府信息长效机制。认真做好政府信息主动公开，即时更新机构职能、信息公开指南、信息公开目录、信息公开报告、政策文件、政府会议、财政信息等，今年主动公开政府信息10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lang w:val="en-US" w:eastAsia="zh-CN"/>
        </w:rPr>
        <w:t>二</w:t>
      </w: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rPr>
        <w:t>依申请公开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2024年我局系统梳理依申请公开工作流程，明确各科室工作职责，严格把控答复程序、时限，切实做到依法办理、严谨规范。2024年度，未收到政府信息依申请公开，未发生被行政复议、行政诉讼的情况，被纠正结果的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lang w:val="en-US" w:eastAsia="zh-CN"/>
        </w:rPr>
        <w:t>三</w:t>
      </w: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rPr>
        <w:t>政府信息管理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县信访局不断加强政府信息管理工作，提高政府信息公开规范化水平。及时调整更新政务公开工作领导小组，定期召开办公会议，安排部署政府信息公开有关工作，定期组织学习政府信息公开相关内容，统一思想认识，进一步提高信息公开工作的积极性、主动性、规范性。建立健全主动公开、依申请公开、保密审查、重大决策公开等制度，坚持依法依规做好信息公开。本年度未制发规范性文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lang w:val="en-US" w:eastAsia="zh-CN"/>
        </w:rPr>
        <w:t>四</w:t>
      </w: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rPr>
        <w:t>政府信息公开平台建设</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一是优化政务公开专栏。根据县政府办公室要求，对平台目录进行了优化调整，确保信息发布准确。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二是加强接访场所信息发布。在候访场所，设置宣传展板、摆放信访工作法治化宣传手册，引导群众依法、文明、有序信访。</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fill="FFFFFF"/>
        </w:rPr>
      </w:pP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lang w:val="en-US" w:eastAsia="zh-CN"/>
        </w:rPr>
        <w:t>五</w:t>
      </w:r>
      <w:r>
        <w:rPr>
          <w:rFonts w:hint="eastAsia" w:ascii="楷体_GB2312" w:hAnsi="楷体_GB2312" w:eastAsia="楷体_GB2312" w:cs="楷体_GB2312"/>
          <w:i w:val="0"/>
          <w:iCs w:val="0"/>
          <w:caps w:val="0"/>
          <w:color w:val="auto"/>
          <w:spacing w:val="0"/>
          <w:sz w:val="32"/>
          <w:szCs w:val="32"/>
          <w:shd w:val="clear" w:fill="FFFFFF"/>
          <w:lang w:eastAsia="zh-CN"/>
        </w:rPr>
        <w:t>）</w:t>
      </w:r>
      <w:r>
        <w:rPr>
          <w:rFonts w:hint="eastAsia" w:ascii="楷体_GB2312" w:hAnsi="楷体_GB2312" w:eastAsia="楷体_GB2312" w:cs="楷体_GB2312"/>
          <w:i w:val="0"/>
          <w:iCs w:val="0"/>
          <w:caps w:val="0"/>
          <w:color w:val="auto"/>
          <w:spacing w:val="0"/>
          <w:sz w:val="32"/>
          <w:szCs w:val="32"/>
          <w:shd w:val="clear" w:fill="FFFFFF"/>
        </w:rPr>
        <w:t>监督保障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公开依申请公开指南，及时回复社会关切，充分发挥社会监督作用。遵循“谁公开、谁负责”和“先审查、后公开”的原则，围绕各项重点工作，做到应公开、尽公开，确保内容准确、表述规范。对拟公开的信息进行保密审查，做到全程留痕、有据可查，保障信息公开内容的安全性。积极开展业务培训，2024年度组织信息公开工作培训会2次，定期组织学习政府信息公开相关制度，进一步提升政府信息公开水平，推进政务公开高效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宋体" w:cs="宋体"/>
          <w:i w:val="0"/>
          <w:iCs w:val="0"/>
          <w:caps w:val="0"/>
          <w:color w:val="auto"/>
          <w:spacing w:val="0"/>
          <w:sz w:val="24"/>
          <w:szCs w:val="24"/>
        </w:rPr>
      </w:pPr>
      <w:r>
        <w:rPr>
          <w:rFonts w:hint="eastAsia" w:ascii="黑体" w:hAnsi="黑体" w:eastAsia="黑体" w:cs="黑体"/>
          <w:b w:val="0"/>
          <w:bCs w:val="0"/>
          <w:i w:val="0"/>
          <w:iCs w:val="0"/>
          <w:caps w:val="0"/>
          <w:color w:val="auto"/>
          <w:spacing w:val="0"/>
          <w:sz w:val="32"/>
          <w:szCs w:val="32"/>
          <w:shd w:val="clear" w:fill="FFFFFF"/>
        </w:rPr>
        <w:t>二、主动公开政府信息情况</w:t>
      </w:r>
    </w:p>
    <w:tbl>
      <w:tblPr>
        <w:tblStyle w:val="5"/>
        <w:tblW w:w="9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30"/>
        <w:gridCol w:w="2330"/>
        <w:gridCol w:w="2330"/>
        <w:gridCol w:w="2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320" w:type="dxa"/>
            <w:gridSpan w:val="4"/>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信息内容</w:t>
            </w:r>
          </w:p>
        </w:tc>
        <w:tc>
          <w:tcPr>
            <w:tcW w:w="233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本年制发件数</w:t>
            </w:r>
          </w:p>
        </w:tc>
        <w:tc>
          <w:tcPr>
            <w:tcW w:w="233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本年废止件数</w:t>
            </w:r>
          </w:p>
        </w:tc>
        <w:tc>
          <w:tcPr>
            <w:tcW w:w="233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规章</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shd w:val="clear" w:color="auto" w:fill="auto"/>
                <w:lang w:val="en-US"/>
              </w:rPr>
            </w:pPr>
            <w:r>
              <w:rPr>
                <w:rFonts w:hint="eastAsia" w:asciiTheme="minorEastAsia" w:hAnsiTheme="minorEastAsia" w:eastAsiaTheme="minorEastAsia" w:cstheme="minorEastAsia"/>
                <w:color w:val="auto"/>
                <w:kern w:val="0"/>
                <w:sz w:val="20"/>
                <w:szCs w:val="20"/>
                <w:shd w:val="clear" w:color="auto" w:fill="auto"/>
                <w:lang w:val="en-US" w:eastAsia="zh-CN" w:bidi="ar"/>
              </w:rPr>
              <w:t>0</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shd w:val="clear" w:color="auto" w:fill="auto"/>
                <w:lang w:val="en-US"/>
              </w:rPr>
            </w:pPr>
            <w:r>
              <w:rPr>
                <w:rFonts w:hint="eastAsia" w:asciiTheme="minorEastAsia" w:hAnsiTheme="minorEastAsia" w:eastAsiaTheme="minorEastAsia" w:cstheme="minorEastAsia"/>
                <w:color w:val="auto"/>
                <w:kern w:val="0"/>
                <w:sz w:val="20"/>
                <w:szCs w:val="20"/>
                <w:shd w:val="clear" w:color="auto" w:fill="auto"/>
                <w:lang w:val="en-US" w:eastAsia="zh-CN" w:bidi="ar"/>
              </w:rPr>
              <w:t>0</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shd w:val="clear" w:color="auto" w:fill="auto"/>
                <w:lang w:val="en-US"/>
              </w:rPr>
            </w:pPr>
            <w:r>
              <w:rPr>
                <w:rFonts w:hint="eastAsia" w:asciiTheme="minorEastAsia" w:hAnsiTheme="minorEastAsia" w:eastAsiaTheme="minorEastAsia" w:cstheme="minorEastAsia"/>
                <w:color w:val="auto"/>
                <w:kern w:val="0"/>
                <w:sz w:val="20"/>
                <w:szCs w:val="20"/>
                <w:shd w:val="clear" w:color="auto" w:fill="auto"/>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行政规范性文件</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shd w:val="clear" w:color="auto" w:fill="auto"/>
                <w:lang w:eastAsia="zh-CN"/>
              </w:rPr>
            </w:pPr>
            <w:r>
              <w:rPr>
                <w:rFonts w:hint="eastAsia" w:asciiTheme="minorEastAsia" w:hAnsiTheme="minorEastAsia" w:eastAsiaTheme="minorEastAsia" w:cstheme="minorEastAsia"/>
                <w:color w:val="auto"/>
                <w:sz w:val="20"/>
                <w:szCs w:val="20"/>
                <w:shd w:val="clear" w:color="auto" w:fill="auto"/>
                <w:lang w:val="en-US" w:eastAsia="zh-CN"/>
              </w:rPr>
              <w:t>0</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shd w:val="clear" w:color="auto" w:fill="auto"/>
                <w:lang w:eastAsia="zh-CN"/>
              </w:rPr>
            </w:pPr>
            <w:r>
              <w:rPr>
                <w:rFonts w:hint="eastAsia" w:asciiTheme="minorEastAsia" w:hAnsiTheme="minorEastAsia" w:eastAsiaTheme="minorEastAsia" w:cstheme="minorEastAsia"/>
                <w:color w:val="auto"/>
                <w:sz w:val="20"/>
                <w:szCs w:val="20"/>
                <w:shd w:val="clear" w:color="auto" w:fill="auto"/>
                <w:lang w:eastAsia="zh-CN"/>
              </w:rPr>
              <w:t>0</w:t>
            </w:r>
          </w:p>
        </w:tc>
        <w:tc>
          <w:tcPr>
            <w:tcW w:w="233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shd w:val="clear" w:color="auto" w:fill="auto"/>
                <w:lang w:eastAsia="zh-CN"/>
              </w:rPr>
            </w:pPr>
            <w:r>
              <w:rPr>
                <w:rFonts w:hint="eastAsia" w:asciiTheme="minorEastAsia" w:hAnsiTheme="minorEastAsia" w:eastAsiaTheme="minorEastAsia" w:cstheme="minorEastAsia"/>
                <w:color w:val="auto"/>
                <w:sz w:val="20"/>
                <w:szCs w:val="20"/>
                <w:shd w:val="clear" w:color="auto" w:fill="auto"/>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32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信息内容</w:t>
            </w:r>
          </w:p>
        </w:tc>
        <w:tc>
          <w:tcPr>
            <w:tcW w:w="699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行政许可</w:t>
            </w:r>
          </w:p>
        </w:tc>
        <w:tc>
          <w:tcPr>
            <w:tcW w:w="699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color w:val="auto"/>
                <w:shd w:val="clear" w:color="auto" w:fill="auto"/>
                <w:lang w:val="en-US" w:eastAsia="zh-CN"/>
              </w:rPr>
            </w:pPr>
            <w:r>
              <w:rPr>
                <w:rFonts w:hint="eastAsia" w:asciiTheme="minorEastAsia" w:hAnsiTheme="minorEastAsia" w:eastAsiaTheme="minorEastAsia" w:cstheme="minorEastAsia"/>
                <w:color w:val="auto"/>
                <w:sz w:val="20"/>
                <w:szCs w:val="20"/>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32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信息内容</w:t>
            </w:r>
          </w:p>
        </w:tc>
        <w:tc>
          <w:tcPr>
            <w:tcW w:w="6990"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行政处罚</w:t>
            </w:r>
          </w:p>
        </w:tc>
        <w:tc>
          <w:tcPr>
            <w:tcW w:w="699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shd w:val="clear" w:color="auto" w:fill="auto"/>
                <w:lang w:val="en-US" w:eastAsia="zh-CN"/>
              </w:rPr>
            </w:pPr>
            <w:r>
              <w:rPr>
                <w:rFonts w:hint="eastAsia" w:asciiTheme="minorEastAsia" w:hAnsiTheme="minorEastAsia" w:eastAsiaTheme="minorEastAsia" w:cstheme="minorEastAsia"/>
                <w:color w:val="auto"/>
                <w:sz w:val="20"/>
                <w:szCs w:val="20"/>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行政强制</w:t>
            </w:r>
          </w:p>
        </w:tc>
        <w:tc>
          <w:tcPr>
            <w:tcW w:w="699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shd w:val="clear" w:color="auto" w:fill="auto"/>
                <w:lang w:val="en-US" w:eastAsia="zh-CN"/>
              </w:rPr>
            </w:pPr>
            <w:r>
              <w:rPr>
                <w:rFonts w:hint="eastAsia" w:asciiTheme="minorEastAsia" w:hAnsiTheme="minorEastAsia" w:eastAsiaTheme="minorEastAsia" w:cstheme="minorEastAsia"/>
                <w:color w:val="auto"/>
                <w:sz w:val="20"/>
                <w:szCs w:val="20"/>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320" w:type="dxa"/>
            <w:gridSpan w:val="4"/>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信息内容</w:t>
            </w:r>
          </w:p>
        </w:tc>
        <w:tc>
          <w:tcPr>
            <w:tcW w:w="699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33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hd w:val="clear" w:color="auto" w:fill="auto"/>
              </w:rPr>
            </w:pPr>
            <w:r>
              <w:rPr>
                <w:rFonts w:hint="eastAsia" w:ascii="宋体" w:hAnsi="宋体" w:eastAsia="宋体" w:cs="宋体"/>
                <w:color w:val="auto"/>
                <w:kern w:val="0"/>
                <w:sz w:val="20"/>
                <w:szCs w:val="20"/>
                <w:shd w:val="clear" w:color="auto" w:fill="auto"/>
                <w:lang w:val="en-US" w:eastAsia="zh-CN" w:bidi="ar"/>
              </w:rPr>
              <w:t>行政事业性收费</w:t>
            </w:r>
          </w:p>
        </w:tc>
        <w:tc>
          <w:tcPr>
            <w:tcW w:w="699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宋体" w:eastAsia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0"/>
                <w:szCs w:val="20"/>
                <w:shd w:val="clear" w:color="auto" w:fill="auto"/>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宋体" w:cs="宋体"/>
          <w:i w:val="0"/>
          <w:iCs w:val="0"/>
          <w:caps w:val="0"/>
          <w:color w:val="auto"/>
          <w:spacing w:val="0"/>
          <w:sz w:val="24"/>
          <w:szCs w:val="24"/>
        </w:rPr>
      </w:pPr>
      <w:r>
        <w:rPr>
          <w:rFonts w:hint="eastAsia" w:ascii="黑体" w:hAnsi="黑体" w:eastAsia="黑体" w:cs="黑体"/>
          <w:b w:val="0"/>
          <w:bCs w:val="0"/>
          <w:i w:val="0"/>
          <w:iCs w:val="0"/>
          <w:caps w:val="0"/>
          <w:color w:val="auto"/>
          <w:spacing w:val="0"/>
          <w:sz w:val="32"/>
          <w:szCs w:val="32"/>
          <w:shd w:val="clear" w:fill="FFFFFF"/>
        </w:rPr>
        <w:t>三、收到和处理政府信息公开申请情况</w:t>
      </w:r>
    </w:p>
    <w:tbl>
      <w:tblPr>
        <w:tblStyle w:val="5"/>
        <w:tblW w:w="92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2"/>
        <w:gridCol w:w="899"/>
        <w:gridCol w:w="3073"/>
        <w:gridCol w:w="655"/>
        <w:gridCol w:w="655"/>
        <w:gridCol w:w="655"/>
        <w:gridCol w:w="655"/>
        <w:gridCol w:w="655"/>
        <w:gridCol w:w="661"/>
        <w:gridCol w:w="6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4704"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4595"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470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655"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自然人</w:t>
            </w:r>
          </w:p>
        </w:tc>
        <w:tc>
          <w:tcPr>
            <w:tcW w:w="3281"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法人或其他组织</w:t>
            </w:r>
          </w:p>
        </w:tc>
        <w:tc>
          <w:tcPr>
            <w:tcW w:w="65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9" w:hRule="atLeast"/>
          <w:jc w:val="center"/>
        </w:trPr>
        <w:tc>
          <w:tcPr>
            <w:tcW w:w="4704"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655"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企业</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机构</w:t>
            </w:r>
          </w:p>
        </w:tc>
        <w:tc>
          <w:tcPr>
            <w:tcW w:w="65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社会公益组织</w:t>
            </w:r>
          </w:p>
        </w:tc>
        <w:tc>
          <w:tcPr>
            <w:tcW w:w="65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法律服务机构</w:t>
            </w:r>
          </w:p>
        </w:tc>
        <w:tc>
          <w:tcPr>
            <w:tcW w:w="66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rPr>
            </w:pPr>
            <w:r>
              <w:rPr>
                <w:rFonts w:hint="eastAsia" w:ascii="宋体" w:hAnsi="宋体" w:eastAsia="宋体" w:cs="宋体"/>
                <w:color w:val="auto"/>
                <w:kern w:val="0"/>
                <w:sz w:val="20"/>
                <w:szCs w:val="20"/>
                <w:lang w:val="en-US" w:eastAsia="zh-CN" w:bidi="ar"/>
              </w:rPr>
              <w:t>其他</w:t>
            </w:r>
          </w:p>
        </w:tc>
        <w:tc>
          <w:tcPr>
            <w:tcW w:w="65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47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rPr>
            </w:pPr>
            <w:r>
              <w:rPr>
                <w:rFonts w:hint="eastAsia" w:asciiTheme="minorEastAsia" w:hAnsi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47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default"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三、本年度办理结果</w:t>
            </w:r>
          </w:p>
        </w:tc>
        <w:tc>
          <w:tcPr>
            <w:tcW w:w="397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（一）予以公开</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0"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97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（三）不予公开</w:t>
            </w: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1.属于国家秘密</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kern w:val="0"/>
                <w:sz w:val="20"/>
                <w:szCs w:val="20"/>
                <w:lang w:val="en-US" w:eastAsia="zh-CN" w:bidi="ar"/>
              </w:rPr>
              <w:t>0</w:t>
            </w:r>
          </w:p>
        </w:tc>
        <w:tc>
          <w:tcPr>
            <w:tcW w:w="65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2.其他法律行政法规禁止公开</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3.危及“三安全一稳定”</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4.保护第三方合法权益</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5.属于三类内部事务信息</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6.属于四类过程性信息</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7.属于行政执法案卷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8.属于行政查询事项</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（四）无法提供</w:t>
            </w: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1.本机关不掌握相关政府信息</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2.没有现成信息需要另行制作</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3.补正后申请内容仍不明确</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（五）不予处理</w:t>
            </w: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1.信访举报投诉类申请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2.重复申请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3.要求提供公开出版物</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4.无正当理由大量反复申请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2"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9"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（六）其他处理</w:t>
            </w: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9"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both"/>
              <w:textAlignment w:val="auto"/>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lang w:val="en-US"/>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sz w:val="20"/>
                <w:szCs w:val="20"/>
              </w:rPr>
            </w:pPr>
            <w:r>
              <w:rPr>
                <w:rFonts w:hint="eastAsia" w:asciiTheme="minorEastAsia" w:hAnsi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89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07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3.其他</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8" w:hRule="atLeast"/>
          <w:jc w:val="center"/>
        </w:trPr>
        <w:tc>
          <w:tcPr>
            <w:tcW w:w="73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397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（七）总计</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cstheme="minorEastAsia"/>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7" w:hRule="atLeast"/>
          <w:jc w:val="center"/>
        </w:trPr>
        <w:tc>
          <w:tcPr>
            <w:tcW w:w="4704"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宋体" w:hAnsi="宋体" w:eastAsia="宋体" w:cs="宋体"/>
                <w:color w:val="auto"/>
                <w:kern w:val="0"/>
                <w:sz w:val="20"/>
                <w:szCs w:val="20"/>
                <w:lang w:val="en-US" w:eastAsia="zh-CN" w:bidi="ar"/>
              </w:rPr>
              <w:t>四、结转下年度继续办理</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6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eastAsiaTheme="minorEastAsia" w:cstheme="minorEastAsia"/>
                <w:color w:val="auto"/>
                <w:sz w:val="20"/>
                <w:szCs w:val="20"/>
                <w:lang w:val="en-US" w:eastAsia="zh-CN"/>
              </w:rPr>
              <w:t>0</w:t>
            </w:r>
          </w:p>
        </w:tc>
        <w:tc>
          <w:tcPr>
            <w:tcW w:w="65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line="560" w:lineRule="exact"/>
              <w:jc w:val="center"/>
              <w:textAlignment w:val="auto"/>
              <w:outlineLvl w:val="9"/>
              <w:rPr>
                <w:rFonts w:hint="eastAsia" w:asciiTheme="minorEastAsia" w:hAnsiTheme="minorEastAsia" w:eastAsiaTheme="minorEastAsia" w:cstheme="minorEastAsia"/>
                <w:color w:val="auto"/>
                <w:kern w:val="2"/>
                <w:sz w:val="20"/>
                <w:szCs w:val="20"/>
                <w:lang w:val="en-US" w:eastAsia="zh-CN" w:bidi="ar-SA"/>
              </w:rPr>
            </w:pPr>
            <w:r>
              <w:rPr>
                <w:rFonts w:hint="eastAsia" w:asciiTheme="minorEastAsia" w:hAnsiTheme="minorEastAsia" w:cstheme="minorEastAsia"/>
                <w:color w:val="auto"/>
                <w:sz w:val="20"/>
                <w:szCs w:val="20"/>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宋体" w:cs="宋体"/>
          <w:i w:val="0"/>
          <w:iCs w:val="0"/>
          <w:caps w:val="0"/>
          <w:color w:val="auto"/>
          <w:spacing w:val="0"/>
          <w:sz w:val="24"/>
          <w:szCs w:val="24"/>
        </w:rPr>
      </w:pPr>
      <w:r>
        <w:rPr>
          <w:rFonts w:hint="eastAsia" w:ascii="黑体" w:hAnsi="黑体" w:eastAsia="黑体" w:cs="黑体"/>
          <w:b w:val="0"/>
          <w:bCs w:val="0"/>
          <w:i w:val="0"/>
          <w:iCs w:val="0"/>
          <w:caps w:val="0"/>
          <w:color w:val="auto"/>
          <w:spacing w:val="0"/>
          <w:sz w:val="32"/>
          <w:szCs w:val="32"/>
          <w:shd w:val="clear" w:fill="FFFFFF"/>
        </w:rPr>
        <w:t>四、政府信息公开行政复议、行政诉讼情况</w:t>
      </w:r>
    </w:p>
    <w:tbl>
      <w:tblPr>
        <w:tblStyle w:val="5"/>
        <w:tblW w:w="93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23"/>
        <w:gridCol w:w="623"/>
        <w:gridCol w:w="623"/>
        <w:gridCol w:w="623"/>
        <w:gridCol w:w="623"/>
        <w:gridCol w:w="623"/>
        <w:gridCol w:w="623"/>
        <w:gridCol w:w="624"/>
        <w:gridCol w:w="624"/>
        <w:gridCol w:w="624"/>
        <w:gridCol w:w="625"/>
        <w:gridCol w:w="625"/>
        <w:gridCol w:w="625"/>
        <w:gridCol w:w="625"/>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5" w:hRule="atLeast"/>
          <w:jc w:val="center"/>
        </w:trPr>
        <w:tc>
          <w:tcPr>
            <w:tcW w:w="31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6244"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5" w:hRule="atLeast"/>
          <w:jc w:val="center"/>
        </w:trPr>
        <w:tc>
          <w:tcPr>
            <w:tcW w:w="62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62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2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2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23"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11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312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6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62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62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62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623"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宋体"/>
                <w:color w:val="auto"/>
                <w:sz w:val="24"/>
                <w:szCs w:val="24"/>
              </w:rPr>
            </w:pP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2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2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2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4" w:hRule="atLeast"/>
          <w:jc w:val="center"/>
        </w:trPr>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c>
          <w:tcPr>
            <w:tcW w:w="62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五、</w:t>
      </w:r>
      <w:r>
        <w:rPr>
          <w:rFonts w:hint="eastAsia" w:ascii="黑体" w:hAnsi="黑体" w:eastAsia="黑体" w:cs="黑体"/>
          <w:b w:val="0"/>
          <w:bCs w:val="0"/>
          <w:i w:val="0"/>
          <w:iCs w:val="0"/>
          <w:caps w:val="0"/>
          <w:color w:val="auto"/>
          <w:spacing w:val="0"/>
          <w:sz w:val="32"/>
          <w:szCs w:val="32"/>
          <w:shd w:val="clear" w:fill="FFFFFF"/>
        </w:rPr>
        <w:t>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2024年，存在的问题：一是政务公开意识有待加强。一些科室（单位）的信息主动公开意识不强，认识和重视程度不够；二是工作内容报送不及时、不完全。存在政务公开人员技能经验相对缺乏、人手不够，不能与其他工作充分兼顾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整改措施：一是将政务公开工作作为一项重要工作纳入日常工作调度和督查。压实工作责任，提高工作积极性，确保政府信息公开工作能按照既定工作流程有效运作。二是进一步建立和完善政府信息公开工作制度，落实目标责任制，严格按照时间节点及时公开相关信息，做到应公开尽公开，确保信息时效性。三是更好地接受社会公众对信息公开情况的监督。</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六、</w:t>
      </w:r>
      <w:r>
        <w:rPr>
          <w:rFonts w:hint="eastAsia" w:ascii="黑体" w:hAnsi="黑体" w:eastAsia="黑体" w:cs="黑体"/>
          <w:b w:val="0"/>
          <w:bCs w:val="0"/>
          <w:i w:val="0"/>
          <w:iCs w:val="0"/>
          <w:caps w:val="0"/>
          <w:color w:val="auto"/>
          <w:spacing w:val="0"/>
          <w:sz w:val="32"/>
          <w:szCs w:val="32"/>
          <w:shd w:val="clear" w:fill="FFFFFF"/>
        </w:rPr>
        <w:t>其他需要报告的事项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（一）政府信息公开处理费收取情况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2024年度未发出政府信息公开信息处理费收费通知书，无收取信息处理费情况。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（二）人大代表建议和政协提案办理结果公开情况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县信访局本年度未收到人大代表建议和政协提案。</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10" w:leftChars="0" w:right="0" w:rightChars="0" w:firstLine="640" w:firstLineChars="0"/>
        <w:jc w:val="both"/>
        <w:textAlignment w:val="auto"/>
        <w:rPr>
          <w:rFonts w:hint="eastAsia"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落实上级年度政务公开工作要点情况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县信访局认真落实省、市、县关于政务公开工作要点要求，扎实有序推进政务公开工作，及时做好法规文件、组织机构、会议公开、决策公开、财政预决算、其他法定信息等事项的全面公开，全面提升政务公开标准化规范化水平，全面有序推进政务公开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（四）本行政机关年度政务公开工作创新情况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一是进一步加强政务公开工作力量，选优配强专业干部；二是强政治自觉，深化源头治理，注重程序推进，强化实质解决，确保群众的每一项诉求都有人办理，群众的每一项诉求都依法推进。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（五）本行政机关政府信息公开工作年度报告数据统计需要说明的事项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（六）本行政机关认为需要报告的其他事项；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（七）其他有关文件专门要求通过政府信息公开工作年度报告予以报告的事项。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无。</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righ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昌乐县信访局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right"/>
        <w:textAlignment w:val="auto"/>
        <w:rPr>
          <w:rFonts w:hint="default" w:ascii="楷体_GB2312" w:hAnsi="楷体_GB2312" w:eastAsia="楷体_GB2312" w:cs="楷体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2025年1月10日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sectPr>
      <w:footerReference r:id="rId3" w:type="default"/>
      <w:pgSz w:w="11906" w:h="16838"/>
      <w:pgMar w:top="2154" w:right="1361" w:bottom="2154"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64A8E9-C4D2-4E42-ADD9-D5AE5AAAB7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embedRegular r:id="rId2" w:fontKey="{29425D7E-D967-4F99-AE49-EC5ED017C02D}"/>
  </w:font>
  <w:font w:name="仿宋_GB2312">
    <w:panose1 w:val="02010609030101010101"/>
    <w:charset w:val="86"/>
    <w:family w:val="auto"/>
    <w:pitch w:val="default"/>
    <w:sig w:usb0="00000001" w:usb1="080E0000" w:usb2="00000000" w:usb3="00000000" w:csb0="00040000" w:csb1="00000000"/>
    <w:embedRegular r:id="rId3" w:fontKey="{44A4B48C-D787-48C3-A228-AB9C91939AC2}"/>
  </w:font>
  <w:font w:name="楷体_GB2312">
    <w:panose1 w:val="02010609030101010101"/>
    <w:charset w:val="86"/>
    <w:family w:val="auto"/>
    <w:pitch w:val="default"/>
    <w:sig w:usb0="00000001" w:usb1="080E0000" w:usb2="00000000" w:usb3="00000000" w:csb0="00040000" w:csb1="00000000"/>
    <w:embedRegular r:id="rId4" w:fontKey="{4E22E466-1B9F-40C7-83CC-C573C110F6BE}"/>
  </w:font>
  <w:font w:name="楷体">
    <w:panose1 w:val="02010609060101010101"/>
    <w:charset w:val="86"/>
    <w:family w:val="auto"/>
    <w:pitch w:val="default"/>
    <w:sig w:usb0="800002BF" w:usb1="38CF7CFA" w:usb2="00000016" w:usb3="00000000" w:csb0="00040001" w:csb1="00000000"/>
    <w:embedRegular r:id="rId5" w:fontKey="{687BD4EC-54E7-4D7D-BFFC-A6A333EAE0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7D036"/>
    <w:multiLevelType w:val="singleLevel"/>
    <w:tmpl w:val="2AB7D036"/>
    <w:lvl w:ilvl="0" w:tentative="0">
      <w:start w:val="3"/>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f0f426e1-e2f6-4bae-8a94-bc8824067861"/>
  </w:docVars>
  <w:rsids>
    <w:rsidRoot w:val="00000000"/>
    <w:rsid w:val="04AE0BC2"/>
    <w:rsid w:val="050B4ACD"/>
    <w:rsid w:val="0B0C783F"/>
    <w:rsid w:val="12430612"/>
    <w:rsid w:val="12EA43E0"/>
    <w:rsid w:val="1878365F"/>
    <w:rsid w:val="1A7C046F"/>
    <w:rsid w:val="22B76683"/>
    <w:rsid w:val="240E1E7F"/>
    <w:rsid w:val="2BF3754C"/>
    <w:rsid w:val="2F421715"/>
    <w:rsid w:val="35286F68"/>
    <w:rsid w:val="3BF1129C"/>
    <w:rsid w:val="3C7D60DF"/>
    <w:rsid w:val="3E6D39F1"/>
    <w:rsid w:val="43B27D8E"/>
    <w:rsid w:val="49232410"/>
    <w:rsid w:val="4CCE49CD"/>
    <w:rsid w:val="500B78BB"/>
    <w:rsid w:val="50360C65"/>
    <w:rsid w:val="528659F8"/>
    <w:rsid w:val="54917840"/>
    <w:rsid w:val="570954CB"/>
    <w:rsid w:val="5E5368D4"/>
    <w:rsid w:val="5E724E29"/>
    <w:rsid w:val="60FC7B66"/>
    <w:rsid w:val="65EB25D0"/>
    <w:rsid w:val="729E19F7"/>
    <w:rsid w:val="72DE3B95"/>
    <w:rsid w:val="74820F33"/>
    <w:rsid w:val="7B503949"/>
    <w:rsid w:val="7C4012BD"/>
    <w:rsid w:val="7E071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2326</Words>
  <Characters>2415</Characters>
  <Lines>0</Lines>
  <Paragraphs>0</Paragraphs>
  <TotalTime>43</TotalTime>
  <ScaleCrop>false</ScaleCrop>
  <LinksUpToDate>false</LinksUpToDate>
  <CharactersWithSpaces>2415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WPS_1658918391</cp:lastModifiedBy>
  <cp:lastPrinted>2022-01-11T07:48:00Z</cp:lastPrinted>
  <dcterms:modified xsi:type="dcterms:W3CDTF">2025-01-17T02:04:58Z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C949054AE0BA4B19BECFE2BAD728CE44_13</vt:lpwstr>
  </property>
  <property fmtid="{D5CDD505-2E9C-101B-9397-08002B2CF9AE}" pid="4" name="KSOTemplateDocerSaveRecord">
    <vt:lpwstr>eyJoZGlkIjoiMzQxYjYwMzMyM2Y2Y2U0NWU3MGQ0MDBlZDFlMDMxOWQiLCJ1c2VySWQiOiIzMDY2ODc5NiJ9</vt:lpwstr>
  </property>
</Properties>
</file>