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kern w:val="0"/>
          <w:sz w:val="24"/>
          <w:szCs w:val="24"/>
        </w:rPr>
      </w:pPr>
      <w:r>
        <w:rPr>
          <w:rFonts w:hint="eastAsia" w:ascii="方正小标宋简体" w:hAnsi="Calibri" w:eastAsia="方正小标宋简体" w:cs="Calibri"/>
          <w:color w:val="333333"/>
          <w:kern w:val="0"/>
          <w:sz w:val="44"/>
          <w:szCs w:val="44"/>
          <w:shd w:val="clear" w:color="auto" w:fill="FFFFFF"/>
        </w:rPr>
        <w:t xml:space="preserve">昌乐县畜牧业发展中心2019年政府信息公开工作年度报告 </w:t>
      </w:r>
    </w:p>
    <w:p>
      <w:pPr>
        <w:widowControl/>
        <w:shd w:val="clear" w:color="auto" w:fill="FFFFFF"/>
        <w:ind w:firstLine="420"/>
        <w:rPr>
          <w:rFonts w:hint="eastAsia" w:ascii="宋体" w:hAnsi="宋体" w:eastAsia="宋体" w:cs="宋体"/>
          <w:kern w:val="0"/>
          <w:sz w:val="24"/>
          <w:szCs w:val="24"/>
        </w:rPr>
      </w:pPr>
      <w:r>
        <w:rPr>
          <w:rFonts w:hint="eastAsia" w:ascii="宋体" w:hAnsi="宋体" w:eastAsia="宋体" w:cs="宋体"/>
          <w:color w:val="333333"/>
          <w:kern w:val="0"/>
          <w:sz w:val="24"/>
          <w:szCs w:val="24"/>
        </w:rPr>
        <w:t xml:space="preserve"> </w:t>
      </w:r>
    </w:p>
    <w:p>
      <w:pPr>
        <w:widowControl/>
        <w:shd w:val="clear" w:color="auto" w:fill="FFFFFF"/>
        <w:ind w:firstLine="640"/>
        <w:rPr>
          <w:rFonts w:hint="eastAsia" w:ascii="宋体" w:hAnsi="宋体" w:eastAsia="宋体" w:cs="宋体"/>
          <w:kern w:val="0"/>
          <w:sz w:val="24"/>
          <w:szCs w:val="24"/>
        </w:rPr>
      </w:pPr>
      <w:r>
        <w:rPr>
          <w:rFonts w:hint="eastAsia" w:ascii="黑体" w:hAnsi="黑体" w:eastAsia="黑体" w:cs="宋体"/>
          <w:color w:val="333333"/>
          <w:kern w:val="0"/>
          <w:sz w:val="32"/>
          <w:szCs w:val="32"/>
          <w:shd w:val="clear" w:color="auto" w:fill="FFFFFF"/>
        </w:rPr>
        <w:t>一、总体情况</w:t>
      </w:r>
    </w:p>
    <w:p>
      <w:pPr>
        <w:widowControl/>
        <w:shd w:val="clear" w:color="auto" w:fill="FFFFFF"/>
        <w:ind w:firstLine="640"/>
        <w:rPr>
          <w:rFonts w:hint="eastAsia" w:ascii="宋体" w:hAnsi="宋体" w:eastAsia="宋体" w:cs="宋体"/>
          <w:kern w:val="0"/>
          <w:sz w:val="24"/>
          <w:szCs w:val="24"/>
        </w:rPr>
      </w:pPr>
      <w:r>
        <w:rPr>
          <w:rFonts w:hint="eastAsia" w:ascii="仿宋_GB2312" w:hAnsi="Calibri" w:eastAsia="仿宋_GB2312" w:cs="Calibri"/>
          <w:color w:val="333333"/>
          <w:kern w:val="0"/>
          <w:sz w:val="32"/>
          <w:szCs w:val="32"/>
          <w:shd w:val="clear" w:color="auto" w:fill="FFFFFF"/>
        </w:rPr>
        <w:t xml:space="preserve">        （一）主动公开情况。 根据县府办《关于做好2019年政府信息公开工作年度报告编制发布和报送工作的通知》要求，我中心组织编制了《2019年政府信息公开工作年度报告》，包括总体情况、主动公开政府信息情况、收到和处理政府信息公开申请情况、政府信息公开行政复议、行政诉讼情况、存在的主要问题及改进情况、其他需要报告的事项。具体报告如下：</w:t>
      </w:r>
    </w:p>
    <w:p>
      <w:pPr>
        <w:widowControl/>
        <w:shd w:val="clear" w:color="auto" w:fill="FFFFFF"/>
        <w:ind w:firstLine="640"/>
        <w:rPr>
          <w:rFonts w:hint="eastAsia" w:ascii="宋体" w:hAnsi="宋体" w:eastAsia="宋体" w:cs="宋体"/>
          <w:kern w:val="0"/>
          <w:sz w:val="24"/>
          <w:szCs w:val="24"/>
        </w:rPr>
      </w:pPr>
      <w:r>
        <w:rPr>
          <w:rFonts w:hint="eastAsia" w:ascii="仿宋_GB2312" w:hAnsi="Calibri" w:eastAsia="仿宋_GB2312" w:cs="Calibri"/>
          <w:color w:val="333333"/>
          <w:kern w:val="0"/>
          <w:sz w:val="32"/>
          <w:szCs w:val="32"/>
          <w:shd w:val="clear" w:color="auto" w:fill="FFFFFF"/>
        </w:rPr>
        <w:t>2019年，我中心认真抓好《中华人民共和国政府信息公开条例》的贯彻落实，统筹推进政府信息公开工作，不断增强政府信息公开实效，把政府信息公开作为加强党风廉政建设，转变工作作风，提高办事效率的重要内容，强化责任落实，完善工作机制，提高工作能力，切实做到以公开促进畜牧事业健康快速发展。一是组织培训，加强宣传，营造良好的政府信息公开工作氛围，定期、不定期的组织负责政府信息公开工作的工作人员参加业务学习和培训，全面提高有关人员做好政府信息公开工作的能力和水平。2019年，我中心共发布信息32条。二是加强公开内容管理，规范信息公开流程、程序、公开方式和时限要求，形成更加科学和规范的政府信息公开指南和目录，并按照“公开为原则，不公开为例外”的总要求，除涉密和少数敏感性信息外，最大限度地主动公开了应公开各类信息。三是积极做好依申请公开工作，对属于依申请公开的政府信息，根据申请人的申请，及时向申请人进行公开。</w:t>
      </w:r>
    </w:p>
    <w:p>
      <w:pPr>
        <w:widowControl/>
        <w:jc w:val="left"/>
        <w:rPr>
          <w:rFonts w:hint="eastAsia" w:ascii="宋体" w:hAnsi="宋体" w:eastAsia="宋体" w:cs="宋体"/>
          <w:kern w:val="0"/>
          <w:sz w:val="24"/>
          <w:szCs w:val="24"/>
        </w:rPr>
      </w:pPr>
      <w:r>
        <w:rPr>
          <w:rFonts w:hint="eastAsia" w:ascii="宋体" w:hAnsi="宋体" w:eastAsia="宋体" w:cs="宋体"/>
          <w:kern w:val="0"/>
          <w:sz w:val="32"/>
          <w:szCs w:val="32"/>
        </w:rPr>
        <w:t>  </w:t>
      </w:r>
      <w:r>
        <w:rPr>
          <w:rFonts w:hint="eastAsia" w:ascii="楷体" w:hAnsi="楷体" w:eastAsia="楷体" w:cs="宋体"/>
          <w:kern w:val="0"/>
          <w:sz w:val="32"/>
          <w:szCs w:val="32"/>
        </w:rPr>
        <w:t>（二）依申请公开情况。</w:t>
      </w:r>
      <w:r>
        <w:rPr>
          <w:rFonts w:hint="eastAsia" w:ascii="仿宋_GB2312" w:hAnsi="宋体" w:eastAsia="仿宋_GB2312" w:cs="宋体"/>
          <w:kern w:val="0"/>
          <w:sz w:val="32"/>
          <w:szCs w:val="32"/>
        </w:rPr>
        <w:t>对属于依申请公开的政府信息，根据申请人的申请，及时向申请人进行公开。</w:t>
      </w:r>
      <w:r>
        <w:rPr>
          <w:rFonts w:hint="eastAsia" w:ascii="宋体" w:hAnsi="宋体" w:eastAsia="宋体" w:cs="宋体"/>
          <w:kern w:val="0"/>
          <w:sz w:val="32"/>
          <w:szCs w:val="32"/>
        </w:rPr>
        <w:t>  </w:t>
      </w:r>
    </w:p>
    <w:p>
      <w:pPr>
        <w:widowControl/>
        <w:jc w:val="left"/>
        <w:rPr>
          <w:rFonts w:hint="eastAsia" w:ascii="宋体" w:hAnsi="宋体" w:eastAsia="宋体" w:cs="宋体"/>
          <w:kern w:val="0"/>
          <w:sz w:val="24"/>
          <w:szCs w:val="24"/>
        </w:rPr>
      </w:pPr>
      <w:r>
        <w:rPr>
          <w:rFonts w:hint="eastAsia" w:ascii="宋体" w:hAnsi="宋体" w:eastAsia="宋体" w:cs="宋体"/>
          <w:kern w:val="0"/>
          <w:sz w:val="32"/>
          <w:szCs w:val="32"/>
        </w:rPr>
        <w:t>  </w:t>
      </w:r>
      <w:r>
        <w:rPr>
          <w:rFonts w:hint="eastAsia" w:ascii="楷体" w:hAnsi="楷体" w:eastAsia="楷体" w:cs="宋体"/>
          <w:kern w:val="0"/>
          <w:sz w:val="32"/>
          <w:szCs w:val="32"/>
        </w:rPr>
        <w:t>（三）政府信息管理情况。</w:t>
      </w:r>
      <w:r>
        <w:rPr>
          <w:rFonts w:hint="eastAsia" w:ascii="仿宋_GB2312" w:hAnsi="宋体" w:eastAsia="仿宋_GB2312" w:cs="宋体"/>
          <w:kern w:val="0"/>
          <w:sz w:val="32"/>
          <w:szCs w:val="32"/>
        </w:rPr>
        <w:t>一是进一步完善政务信息常态化管理机制，不断建立健全政务信息制作、公开等制度。二是及时开展本部门相关业务政策措施进行解读和宣传，及时动态调整。</w:t>
      </w:r>
      <w:r>
        <w:rPr>
          <w:rFonts w:hint="eastAsia" w:ascii="宋体" w:hAnsi="宋体" w:eastAsia="宋体" w:cs="宋体"/>
          <w:kern w:val="0"/>
          <w:sz w:val="32"/>
          <w:szCs w:val="32"/>
        </w:rPr>
        <w:t>  </w:t>
      </w:r>
    </w:p>
    <w:p>
      <w:pPr>
        <w:widowControl/>
        <w:jc w:val="left"/>
        <w:rPr>
          <w:rFonts w:hint="eastAsia" w:ascii="宋体" w:hAnsi="宋体" w:eastAsia="宋体" w:cs="宋体"/>
          <w:kern w:val="0"/>
          <w:sz w:val="24"/>
          <w:szCs w:val="24"/>
        </w:rPr>
      </w:pPr>
      <w:r>
        <w:rPr>
          <w:rFonts w:hint="eastAsia" w:ascii="宋体" w:hAnsi="宋体" w:eastAsia="宋体" w:cs="宋体"/>
          <w:kern w:val="0"/>
          <w:sz w:val="32"/>
          <w:szCs w:val="32"/>
        </w:rPr>
        <w:t>  </w:t>
      </w:r>
      <w:r>
        <w:rPr>
          <w:rFonts w:hint="eastAsia" w:ascii="楷体" w:hAnsi="楷体" w:eastAsia="楷体" w:cs="宋体"/>
          <w:kern w:val="0"/>
          <w:sz w:val="32"/>
          <w:szCs w:val="32"/>
        </w:rPr>
        <w:t>（四）公开平台建设情况</w:t>
      </w:r>
      <w:r>
        <w:rPr>
          <w:rFonts w:hint="eastAsia" w:ascii="仿宋_GB2312" w:hAnsi="宋体" w:eastAsia="仿宋_GB2312" w:cs="宋体"/>
          <w:b/>
          <w:bCs/>
          <w:kern w:val="0"/>
          <w:sz w:val="32"/>
          <w:szCs w:val="32"/>
        </w:rPr>
        <w:t>。</w:t>
      </w:r>
      <w:r>
        <w:rPr>
          <w:rFonts w:hint="eastAsia" w:ascii="仿宋_GB2312" w:hAnsi="宋体" w:eastAsia="仿宋_GB2312" w:cs="宋体"/>
          <w:kern w:val="0"/>
          <w:sz w:val="32"/>
          <w:szCs w:val="32"/>
        </w:rPr>
        <w:t>主要通过</w:t>
      </w:r>
      <w:r>
        <w:rPr>
          <w:rFonts w:hint="eastAsia" w:ascii="宋体" w:hAnsi="宋体" w:eastAsia="宋体" w:cs="宋体"/>
          <w:kern w:val="0"/>
          <w:sz w:val="32"/>
          <w:szCs w:val="32"/>
        </w:rPr>
        <w:t>“昌乐政务网”信息公开专栏等平台主动公开政府信息。</w:t>
      </w:r>
    </w:p>
    <w:p>
      <w:pPr>
        <w:widowControl/>
        <w:jc w:val="left"/>
        <w:rPr>
          <w:rFonts w:hint="eastAsia" w:ascii="宋体" w:hAnsi="宋体" w:eastAsia="宋体" w:cs="宋体"/>
          <w:kern w:val="0"/>
          <w:sz w:val="24"/>
          <w:szCs w:val="24"/>
        </w:rPr>
      </w:pPr>
      <w:r>
        <w:rPr>
          <w:rFonts w:hint="eastAsia" w:ascii="宋体" w:hAnsi="宋体" w:eastAsia="宋体" w:cs="宋体"/>
          <w:kern w:val="0"/>
          <w:sz w:val="32"/>
          <w:szCs w:val="32"/>
        </w:rPr>
        <w:t> </w:t>
      </w:r>
      <w:r>
        <w:rPr>
          <w:rFonts w:hint="eastAsia" w:ascii="楷体" w:hAnsi="楷体" w:eastAsia="楷体" w:cs="宋体"/>
          <w:kern w:val="0"/>
          <w:sz w:val="32"/>
          <w:szCs w:val="32"/>
        </w:rPr>
        <w:t>（五）监督保障情况。</w:t>
      </w:r>
      <w:r>
        <w:rPr>
          <w:rFonts w:hint="eastAsia" w:ascii="宋体" w:hAnsi="宋体" w:eastAsia="宋体" w:cs="宋体"/>
          <w:kern w:val="0"/>
          <w:sz w:val="32"/>
          <w:szCs w:val="32"/>
        </w:rPr>
        <w:t>一是组织领导到位。坚持把推进政府信息公开工作作为机关日常工作来抓，作为开展“</w:t>
      </w:r>
      <w:bookmarkStart w:id="0" w:name="_GoBack"/>
      <w:bookmarkEnd w:id="0"/>
      <w:r>
        <w:rPr>
          <w:rFonts w:hint="eastAsia" w:ascii="宋体" w:hAnsi="宋体" w:eastAsia="宋体" w:cs="宋体"/>
          <w:kern w:val="0"/>
          <w:sz w:val="32"/>
          <w:szCs w:val="32"/>
        </w:rPr>
        <w:t>不忘初心、牢记使命”主题教育的重要举措，明确机关分管领导、承办科室、具体工作人员的责任，加强各站（科、室）配合与协助，全力做好信息公开工作，确保现代化农业信息公开规范有序开展。二是坚持落实政务公开制度。坚持“公开是原则，不公开为例外”，认真落实机关政务信息公开年度报告，确定岗位职责，明确投诉举报方式。</w:t>
      </w:r>
      <w:r>
        <w:rPr>
          <w:rFonts w:hint="eastAsia" w:ascii="宋体" w:hAnsi="宋体" w:eastAsia="宋体" w:cs="宋体"/>
          <w:kern w:val="0"/>
          <w:sz w:val="24"/>
          <w:szCs w:val="24"/>
        </w:rPr>
        <w:t>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32"/>
          <w:szCs w:val="32"/>
        </w:rPr>
        <w:t>(六）建议提案办理结果公开情况均已在政府网站（或通过其他形式）进行了公开。2019年共办理人大代表建议1件，按照要求将人大代表建议办理情况主动进行公开。</w:t>
      </w:r>
    </w:p>
    <w:p>
      <w:pPr>
        <w:widowControl/>
        <w:shd w:val="clear" w:color="auto" w:fill="FFFFFF"/>
        <w:spacing w:before="100" w:beforeAutospacing="1" w:after="240"/>
        <w:ind w:firstLine="640"/>
        <w:rPr>
          <w:rFonts w:hint="eastAsia" w:ascii="宋体" w:hAnsi="宋体" w:eastAsia="宋体" w:cs="宋体"/>
          <w:kern w:val="0"/>
          <w:sz w:val="24"/>
          <w:szCs w:val="24"/>
        </w:rPr>
      </w:pPr>
      <w:r>
        <w:rPr>
          <w:rFonts w:hint="eastAsia" w:ascii="黑体" w:hAnsi="黑体" w:eastAsia="黑体" w:cs="宋体"/>
          <w:color w:val="333333"/>
          <w:kern w:val="0"/>
          <w:sz w:val="32"/>
          <w:szCs w:val="32"/>
          <w:shd w:val="clear" w:color="auto" w:fill="FFFFFF"/>
        </w:rPr>
        <w:t>二、主动公开政府信息情况</w:t>
      </w:r>
    </w:p>
    <w:tbl>
      <w:tblPr>
        <w:tblStyle w:val="2"/>
        <w:tblW w:w="8708" w:type="dxa"/>
        <w:jc w:val="center"/>
        <w:tblLayout w:type="fixed"/>
        <w:tblCellMar>
          <w:top w:w="0" w:type="dxa"/>
          <w:left w:w="0" w:type="dxa"/>
          <w:bottom w:w="0" w:type="dxa"/>
          <w:right w:w="0" w:type="dxa"/>
        </w:tblCellMar>
      </w:tblPr>
      <w:tblGrid>
        <w:gridCol w:w="3073"/>
        <w:gridCol w:w="17"/>
        <w:gridCol w:w="2095"/>
        <w:gridCol w:w="1505"/>
        <w:gridCol w:w="2018"/>
      </w:tblGrid>
      <w:tr>
        <w:tblPrEx>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本年新制作数量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本年新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公开数量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对外公开</w:t>
            </w:r>
          </w:p>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总数量</w:t>
            </w:r>
          </w:p>
        </w:tc>
      </w:tr>
      <w:tr>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规章</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规范性文件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r>
      <w:tr>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行政许可</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121　</w:t>
            </w:r>
          </w:p>
        </w:tc>
      </w:tr>
      <w:tr>
        <w:tblPrEx>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其他对外管理服务事项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15</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r>
      <w:tr>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行政处罚</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36　</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行政强制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r>
      <w:tr>
        <w:tblPrEx>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本年增/减</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行政事业性收费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　</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0</w:t>
            </w:r>
          </w:p>
        </w:tc>
      </w:tr>
      <w:tr>
        <w:tblPrEx>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第二十条第（九）项</w:t>
            </w:r>
          </w:p>
        </w:tc>
      </w:tr>
      <w:tr>
        <w:tblPrEx>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采购总金额</w:t>
            </w:r>
          </w:p>
        </w:tc>
      </w:tr>
      <w:tr>
        <w:tblPrEx>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政府集中采购</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3</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ascii="宋体" w:hAnsi="宋体" w:eastAsia="宋体" w:cs="宋体"/>
                <w:kern w:val="0"/>
                <w:sz w:val="24"/>
                <w:szCs w:val="24"/>
              </w:rPr>
            </w:pPr>
            <w:r>
              <w:rPr>
                <w:rFonts w:hint="eastAsia" w:ascii="宋体" w:hAnsi="宋体" w:eastAsia="宋体" w:cs="宋体"/>
                <w:color w:val="000000"/>
                <w:kern w:val="0"/>
                <w:sz w:val="24"/>
                <w:szCs w:val="24"/>
              </w:rPr>
              <w:t>975750</w:t>
            </w:r>
          </w:p>
        </w:tc>
      </w:tr>
    </w:tbl>
    <w:p>
      <w:pPr>
        <w:widowControl/>
        <w:shd w:val="clear" w:color="auto" w:fill="FFFFFF"/>
        <w:ind w:firstLine="420"/>
        <w:rPr>
          <w:rFonts w:hint="eastAsia" w:ascii="宋体" w:hAnsi="宋体" w:eastAsia="宋体" w:cs="宋体"/>
          <w:kern w:val="0"/>
          <w:sz w:val="24"/>
          <w:szCs w:val="24"/>
        </w:rPr>
      </w:pPr>
      <w:r>
        <w:rPr>
          <w:rFonts w:hint="eastAsia" w:ascii="宋体" w:hAnsi="宋体" w:eastAsia="宋体" w:cs="宋体"/>
          <w:color w:val="333333"/>
          <w:kern w:val="0"/>
          <w:sz w:val="24"/>
          <w:szCs w:val="24"/>
        </w:rPr>
        <w:t xml:space="preserve"> </w:t>
      </w:r>
    </w:p>
    <w:p>
      <w:pPr>
        <w:widowControl/>
        <w:shd w:val="clear" w:color="auto" w:fill="FFFFFF"/>
        <w:spacing w:before="100" w:beforeAutospacing="1" w:after="240"/>
        <w:ind w:left="-199" w:leftChars="-95" w:firstLine="620"/>
        <w:rPr>
          <w:rFonts w:hint="eastAsia" w:ascii="宋体" w:hAnsi="宋体" w:eastAsia="宋体" w:cs="宋体"/>
          <w:kern w:val="0"/>
          <w:sz w:val="24"/>
          <w:szCs w:val="24"/>
        </w:rPr>
      </w:pPr>
      <w:r>
        <w:rPr>
          <w:rFonts w:hint="eastAsia" w:ascii="黑体" w:hAnsi="黑体" w:eastAsia="黑体" w:cs="宋体"/>
          <w:b/>
          <w:bCs/>
          <w:color w:val="333333"/>
          <w:kern w:val="0"/>
          <w:sz w:val="32"/>
          <w:szCs w:val="32"/>
          <w:shd w:val="clear" w:color="auto" w:fill="FFFFFF"/>
        </w:rPr>
        <w:t>三、收到和处理政府信息公开申请情况</w:t>
      </w:r>
    </w:p>
    <w:tbl>
      <w:tblPr>
        <w:tblStyle w:val="2"/>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186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1186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9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ind w:left="-106" w:leftChars="-51" w:right="-107" w:rightChars="-51" w:hanging="1"/>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ind w:left="-107" w:leftChars="-51" w:right="-107" w:rightChars="-51"/>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ind w:left="-107" w:leftChars="-51" w:right="-107" w:rightChars="-51"/>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ind w:left="-106" w:leftChars="-51" w:right="-107" w:rightChars="-51" w:hanging="1"/>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exact"/>
              <w:ind w:left="-63" w:leftChars="-30" w:right="-134" w:rightChars="-64"/>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ind w:left="-107" w:leftChars="-51"/>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ind w:left="-107" w:leftChars="-51"/>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ind w:left="-107" w:leftChars="-51"/>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楷体" w:hAnsi="楷体" w:eastAsia="楷体" w:cs="宋体"/>
                <w:kern w:val="0"/>
                <w:sz w:val="20"/>
                <w:szCs w:val="20"/>
              </w:rPr>
              <w:t>5.要求行政机关确认或重新</w:t>
            </w:r>
          </w:p>
          <w:p>
            <w:pPr>
              <w:widowControl/>
              <w:spacing w:line="300" w:lineRule="exact"/>
              <w:ind w:firstLine="200" w:firstLineChars="100"/>
              <w:jc w:val="left"/>
              <w:rPr>
                <w:rFonts w:ascii="宋体" w:hAnsi="宋体" w:eastAsia="宋体" w:cs="宋体"/>
                <w:kern w:val="0"/>
                <w:sz w:val="24"/>
                <w:szCs w:val="24"/>
              </w:rPr>
            </w:pPr>
            <w:r>
              <w:rPr>
                <w:rFonts w:hint="eastAsia" w:ascii="楷体" w:hAnsi="楷体" w:eastAsia="楷体" w:cs="宋体"/>
                <w:kern w:val="0"/>
                <w:sz w:val="20"/>
                <w:szCs w:val="20"/>
              </w:rPr>
              <w:t>出具已获取信息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Times New Roman"/>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77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exact"/>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left"/>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exact"/>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left"/>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Times New Roman"/>
                <w:szCs w:val="21"/>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eastAsia="宋体" w:cs="宋体"/>
                <w:kern w:val="0"/>
                <w:sz w:val="24"/>
                <w:szCs w:val="24"/>
              </w:rPr>
            </w:pPr>
            <w:r>
              <w:rPr>
                <w:rFonts w:hint="eastAsia" w:ascii="宋体" w:hAnsi="Calibri" w:eastAsia="宋体" w:cs="Times New Roman"/>
                <w:sz w:val="24"/>
                <w:szCs w:val="24"/>
              </w:rPr>
              <w:t>0</w:t>
            </w:r>
          </w:p>
        </w:tc>
      </w:tr>
    </w:tbl>
    <w:p>
      <w:pPr>
        <w:widowControl/>
        <w:shd w:val="clear" w:color="auto" w:fill="FFFFFF"/>
        <w:ind w:firstLine="420"/>
        <w:rPr>
          <w:rFonts w:hint="eastAsia" w:ascii="宋体" w:hAnsi="宋体" w:eastAsia="宋体" w:cs="宋体"/>
          <w:kern w:val="0"/>
          <w:sz w:val="24"/>
          <w:szCs w:val="24"/>
        </w:rPr>
      </w:pPr>
      <w:r>
        <w:rPr>
          <w:rFonts w:hint="eastAsia" w:ascii="宋体" w:hAnsi="宋体" w:eastAsia="宋体" w:cs="宋体"/>
          <w:color w:val="333333"/>
          <w:kern w:val="0"/>
          <w:sz w:val="24"/>
          <w:szCs w:val="24"/>
        </w:rPr>
        <w:t xml:space="preserve"> </w:t>
      </w:r>
    </w:p>
    <w:p>
      <w:pPr>
        <w:widowControl/>
        <w:shd w:val="clear" w:color="auto" w:fill="FFFFFF"/>
        <w:ind w:firstLine="420"/>
        <w:rPr>
          <w:rFonts w:hint="eastAsia" w:ascii="宋体" w:hAnsi="宋体" w:eastAsia="宋体" w:cs="宋体"/>
          <w:kern w:val="0"/>
          <w:sz w:val="24"/>
          <w:szCs w:val="24"/>
        </w:rPr>
      </w:pPr>
      <w:r>
        <w:rPr>
          <w:rFonts w:hint="eastAsia" w:ascii="黑体" w:hAnsi="黑体" w:eastAsia="黑体" w:cs="宋体"/>
          <w:color w:val="333333"/>
          <w:kern w:val="0"/>
          <w:sz w:val="32"/>
          <w:szCs w:val="32"/>
          <w:shd w:val="clear" w:color="auto" w:fill="FFFFFF"/>
        </w:rPr>
        <w:t>四、政府信息公开行政复议、行政诉讼情况</w:t>
      </w:r>
    </w:p>
    <w:p>
      <w:pPr>
        <w:widowControl/>
        <w:shd w:val="clear" w:color="auto" w:fill="FFFFFF"/>
        <w:ind w:firstLine="420"/>
        <w:rPr>
          <w:rFonts w:hint="eastAsia" w:ascii="宋体" w:hAnsi="宋体" w:eastAsia="宋体" w:cs="宋体"/>
          <w:kern w:val="0"/>
          <w:sz w:val="24"/>
          <w:szCs w:val="24"/>
        </w:rPr>
      </w:pPr>
      <w:r>
        <w:rPr>
          <w:rFonts w:hint="eastAsia" w:ascii="宋体" w:hAnsi="宋体" w:eastAsia="宋体" w:cs="宋体"/>
          <w:color w:val="333333"/>
          <w:kern w:val="0"/>
          <w:sz w:val="24"/>
          <w:szCs w:val="24"/>
        </w:rPr>
        <w:t xml:space="preserve"> </w:t>
      </w:r>
    </w:p>
    <w:tbl>
      <w:tblPr>
        <w:tblStyle w:val="2"/>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49" w:leftChars="-71" w:right="-170" w:rightChars="-81"/>
              <w:jc w:val="center"/>
              <w:rPr>
                <w:rFonts w:hint="eastAsia" w:ascii="宋体" w:hAnsi="宋体" w:eastAsia="宋体" w:cs="宋体"/>
                <w:kern w:val="0"/>
                <w:sz w:val="24"/>
                <w:szCs w:val="24"/>
              </w:rPr>
            </w:pPr>
            <w:r>
              <w:rPr>
                <w:rFonts w:hint="eastAsia" w:ascii="宋体" w:hAnsi="宋体" w:eastAsia="宋体" w:cs="宋体"/>
                <w:kern w:val="0"/>
                <w:sz w:val="20"/>
                <w:szCs w:val="20"/>
              </w:rPr>
              <w:t>结果</w:t>
            </w:r>
          </w:p>
          <w:p>
            <w:pPr>
              <w:widowControl/>
              <w:ind w:left="-149" w:leftChars="-71" w:right="-170" w:rightChars="-81"/>
              <w:jc w:val="center"/>
              <w:rPr>
                <w:rFonts w:ascii="宋体" w:hAnsi="宋体" w:eastAsia="宋体" w:cs="宋体"/>
                <w:kern w:val="0"/>
                <w:sz w:val="24"/>
                <w:szCs w:val="24"/>
              </w:rP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43" w:leftChars="-21" w:right="-132" w:rightChars="-63" w:hanging="1"/>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82" w:leftChars="-39" w:right="-97" w:rightChars="-46"/>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18" w:leftChars="-56" w:right="-118" w:rightChars="-56"/>
              <w:jc w:val="center"/>
              <w:rPr>
                <w:rFonts w:ascii="宋体" w:hAnsi="宋体" w:eastAsia="宋体" w:cs="宋体"/>
                <w:kern w:val="0"/>
                <w:sz w:val="24"/>
                <w:szCs w:val="24"/>
              </w:rPr>
            </w:pPr>
            <w:r>
              <w:rPr>
                <w:rFonts w:hint="eastAsia" w:ascii="宋体" w:hAnsi="宋体" w:eastAsia="宋体" w:cs="宋体"/>
                <w:kern w:val="0"/>
                <w:sz w:val="20"/>
                <w:szCs w:val="20"/>
              </w:rPr>
              <w:t>尚未</w:t>
            </w:r>
          </w:p>
          <w:p>
            <w:pPr>
              <w:widowControl/>
              <w:ind w:left="-118" w:leftChars="-56" w:right="-118" w:rightChars="-56"/>
              <w:jc w:val="center"/>
              <w:rPr>
                <w:rFonts w:ascii="宋体" w:hAnsi="宋体" w:eastAsia="宋体" w:cs="宋体"/>
                <w:kern w:val="0"/>
                <w:sz w:val="24"/>
                <w:szCs w:val="24"/>
              </w:rP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ascii="宋体" w:hAnsi="宋体" w:eastAsia="宋体" w:cs="宋体"/>
                <w:kern w:val="0"/>
                <w:sz w:val="24"/>
                <w:szCs w:val="24"/>
              </w:rPr>
            </w:pPr>
            <w:r>
              <w:rPr>
                <w:rFonts w:hint="eastAsia" w:ascii="宋体" w:hAnsi="宋体" w:eastAsia="宋体" w:cs="宋体"/>
                <w:kern w:val="0"/>
                <w:sz w:val="20"/>
                <w:szCs w:val="20"/>
              </w:rPr>
              <w:t>总</w:t>
            </w:r>
          </w:p>
          <w:p>
            <w:pPr>
              <w:widowControl/>
              <w:spacing w:line="320" w:lineRule="exact"/>
              <w:jc w:val="center"/>
              <w:rPr>
                <w:rFonts w:ascii="宋体" w:hAnsi="宋体" w:eastAsia="宋体" w:cs="宋体"/>
                <w:kern w:val="0"/>
                <w:sz w:val="24"/>
                <w:szCs w:val="24"/>
              </w:rP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3074"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05" w:leftChars="-50" w:right="-126" w:rightChars="-6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86" w:leftChars="-41" w:right="-88" w:rightChars="-42"/>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26" w:leftChars="-60" w:right="-136" w:rightChars="-65"/>
              <w:jc w:val="center"/>
              <w:rPr>
                <w:rFonts w:ascii="宋体" w:hAnsi="宋体" w:eastAsia="宋体" w:cs="宋体"/>
                <w:kern w:val="0"/>
                <w:sz w:val="24"/>
                <w:szCs w:val="24"/>
              </w:rPr>
            </w:pPr>
            <w:r>
              <w:rPr>
                <w:rFonts w:hint="eastAsia" w:ascii="宋体" w:hAnsi="宋体" w:eastAsia="宋体" w:cs="宋体"/>
                <w:kern w:val="0"/>
                <w:sz w:val="20"/>
                <w:szCs w:val="20"/>
              </w:rPr>
              <w:t>其他</w:t>
            </w:r>
          </w:p>
          <w:p>
            <w:pPr>
              <w:widowControl/>
              <w:ind w:left="-126" w:leftChars="-60" w:right="-136" w:rightChars="-65"/>
              <w:jc w:val="center"/>
              <w:rPr>
                <w:rFonts w:ascii="宋体" w:hAnsi="宋体" w:eastAsia="宋体" w:cs="宋体"/>
                <w:kern w:val="0"/>
                <w:sz w:val="24"/>
                <w:szCs w:val="24"/>
              </w:rP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64" w:leftChars="-78" w:right="-153" w:rightChars="-73"/>
              <w:jc w:val="center"/>
              <w:rPr>
                <w:rFonts w:ascii="宋体" w:hAnsi="宋体" w:eastAsia="宋体" w:cs="宋体"/>
                <w:kern w:val="0"/>
                <w:sz w:val="24"/>
                <w:szCs w:val="24"/>
              </w:rPr>
            </w:pPr>
            <w:r>
              <w:rPr>
                <w:rFonts w:hint="eastAsia" w:ascii="宋体" w:hAnsi="宋体" w:eastAsia="宋体" w:cs="宋体"/>
                <w:kern w:val="0"/>
                <w:sz w:val="20"/>
                <w:szCs w:val="20"/>
              </w:rPr>
              <w:t>尚未</w:t>
            </w:r>
          </w:p>
          <w:p>
            <w:pPr>
              <w:widowControl/>
              <w:ind w:left="-164" w:leftChars="-78" w:right="-153" w:rightChars="-73"/>
              <w:jc w:val="center"/>
              <w:rPr>
                <w:rFonts w:ascii="宋体" w:hAnsi="宋体" w:eastAsia="宋体" w:cs="宋体"/>
                <w:kern w:val="0"/>
                <w:sz w:val="24"/>
                <w:szCs w:val="24"/>
              </w:rP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99" w:leftChars="-47" w:right="-78" w:rightChars="-37"/>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36" w:leftChars="-65" w:right="-124" w:rightChars="-59"/>
              <w:jc w:val="center"/>
              <w:rPr>
                <w:rFonts w:ascii="宋体" w:hAnsi="宋体" w:eastAsia="宋体" w:cs="宋体"/>
                <w:kern w:val="0"/>
                <w:sz w:val="24"/>
                <w:szCs w:val="24"/>
              </w:rPr>
            </w:pPr>
            <w:r>
              <w:rPr>
                <w:rFonts w:hint="eastAsia" w:ascii="宋体" w:hAnsi="宋体" w:eastAsia="宋体" w:cs="宋体"/>
                <w:kern w:val="0"/>
                <w:sz w:val="20"/>
                <w:szCs w:val="20"/>
              </w:rPr>
              <w:t>结果</w:t>
            </w:r>
          </w:p>
          <w:p>
            <w:pPr>
              <w:widowControl/>
              <w:ind w:left="-136" w:leftChars="-65" w:right="-124" w:rightChars="-59"/>
              <w:jc w:val="center"/>
              <w:rPr>
                <w:rFonts w:ascii="宋体" w:hAnsi="宋体" w:eastAsia="宋体" w:cs="宋体"/>
                <w:kern w:val="0"/>
                <w:sz w:val="24"/>
                <w:szCs w:val="24"/>
              </w:rP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173" w:leftChars="-83" w:right="-134" w:rightChars="-64" w:hanging="1"/>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p>
          <w:p>
            <w:pPr>
              <w:widowControl/>
              <w:ind w:left="-173" w:leftChars="-83" w:right="-134" w:rightChars="-64" w:hanging="1"/>
              <w:jc w:val="center"/>
              <w:rPr>
                <w:rFonts w:ascii="宋体" w:hAnsi="宋体" w:eastAsia="宋体" w:cs="宋体"/>
                <w:kern w:val="0"/>
                <w:sz w:val="24"/>
                <w:szCs w:val="24"/>
              </w:rPr>
            </w:pPr>
            <w:r>
              <w:rPr>
                <w:rFonts w:hint="eastAsia" w:ascii="宋体" w:hAnsi="宋体" w:eastAsia="宋体" w:cs="宋体"/>
                <w:color w:val="00000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67" w:leftChars="-33" w:right="-105" w:rightChars="-50" w:hanging="2" w:hangingChars="1"/>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ascii="宋体" w:hAnsi="宋体" w:eastAsia="宋体" w:cs="宋体"/>
                <w:kern w:val="0"/>
                <w:sz w:val="24"/>
                <w:szCs w:val="24"/>
              </w:rPr>
            </w:pPr>
            <w:r>
              <w:rPr>
                <w:rFonts w:hint="eastAsia" w:ascii="宋体" w:hAnsi="Calibri" w:eastAsia="宋体" w:cs="Times New Roman"/>
                <w:sz w:val="24"/>
                <w:szCs w:val="24"/>
              </w:rPr>
              <w:t>0</w:t>
            </w:r>
          </w:p>
        </w:tc>
      </w:tr>
    </w:tbl>
    <w:p>
      <w:pPr>
        <w:widowControl/>
        <w:shd w:val="clear" w:color="auto" w:fill="FFFFFF"/>
        <w:jc w:val="center"/>
        <w:rPr>
          <w:rFonts w:hint="eastAsia" w:ascii="宋体" w:hAnsi="宋体" w:eastAsia="宋体" w:cs="宋体"/>
          <w:kern w:val="0"/>
          <w:sz w:val="24"/>
          <w:szCs w:val="24"/>
        </w:rPr>
      </w:pPr>
      <w:r>
        <w:rPr>
          <w:rFonts w:hint="eastAsia" w:ascii="宋体" w:hAnsi="宋体" w:eastAsia="宋体" w:cs="宋体"/>
          <w:color w:val="333333"/>
          <w:sz w:val="24"/>
          <w:szCs w:val="24"/>
        </w:rPr>
        <w:t xml:space="preserve"> </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黑体" w:hAnsi="黑体" w:eastAsia="黑体" w:cs="宋体"/>
          <w:color w:val="333333"/>
          <w:kern w:val="0"/>
          <w:sz w:val="32"/>
          <w:szCs w:val="32"/>
          <w:shd w:val="clear" w:color="auto" w:fill="FFFFFF"/>
        </w:rPr>
        <w:t>五、存在的主要问题及改进情况</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存在问题和困难：（一）是公开尺度难以掌握。尽管我们明确了不予公开的政府信息，但具体到各科室，如何根据信息不同性质制定不同的保密级别仍有大量的工作要做。有些信息是群众想知道的，但依据有关法律法规只能部分公开，对应予公开的信息定性不准，尺度难以掌握。二是信息化人员专业技术有待进一步提高。信息管理与维护工作非常重要，技术性要求高，信息化人员专业技术有待进一步提高。</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针对存在的问题，我中心将继续把政府信息公开工作摆在重中之重的位置，对工作中存在的问题从以下方面进行整改：</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一是加大宣传力度，努力营造政府信息公开的良好氛围。开展多种形式的宣传活动，让更多的人员了解政府信息公开的情况，争取得到理解与支持。同时加大督办力度，督促各相关科室梳理信息目录，做好分类公开的各项工作，及时公布信息，切实做到信息公开的内容达到政府要求。</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Calibri" w:hAnsi="Calibri" w:eastAsia="仿宋_GB2312" w:cs="Calibri"/>
          <w:color w:val="333333"/>
          <w:kern w:val="0"/>
          <w:sz w:val="32"/>
          <w:szCs w:val="32"/>
          <w:shd w:val="clear" w:color="auto" w:fill="FFFFFF"/>
        </w:rPr>
        <w:t xml:space="preserve"> </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 xml:space="preserve">       （二）是加大公开力度，切实丰富政府信息公开的内容。按照政府信息公开工作的要求，加强与相关部门联系，努力做到政府信息公开的内容不断充实和完善。</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 xml:space="preserve">       （三）是加大创新力度，不断拓宽政府信息公开渠道。充分利用政府网站开设好的政府信息公开专栏，畅通链接，建立与社会和公众信息公开工作的交流和沟通渠道，通过政府门户网站等形式，及时公开政府信息，扩大政府信息公开的覆盖面。努力探索信息公开的新路子，研究利用微博、微信公众平台等渠道进行公开，方便社会团体、单位、个人及时了解政府信息，有针对性开展工作，广泛听取群众的意见与建议，把人民群众普遍关心、涉及群众利益的政府信息作为公开的重点内容予以公开。</w:t>
      </w:r>
    </w:p>
    <w:p>
      <w:pPr>
        <w:widowControl/>
        <w:shd w:val="clear" w:color="auto" w:fill="FFFFFF"/>
        <w:autoSpaceDE w:val="0"/>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 xml:space="preserve">      （四）是加强督促检查力度，努力达到预期效果。进一步加强对政府信息公开的指导和督促检查，建立健全各项规章制度，确保我局政府信息公开工作全面、有效、顺利实施。</w:t>
      </w:r>
    </w:p>
    <w:p>
      <w:pPr>
        <w:widowControl/>
        <w:shd w:val="clear" w:color="auto" w:fill="FFFFFF"/>
        <w:spacing w:before="100" w:beforeAutospacing="1" w:after="100" w:afterAutospacing="1"/>
        <w:ind w:firstLine="640" w:firstLineChars="200"/>
        <w:rPr>
          <w:rFonts w:hint="eastAsia" w:ascii="宋体" w:hAnsi="宋体" w:eastAsia="宋体" w:cs="宋体"/>
          <w:kern w:val="0"/>
          <w:sz w:val="24"/>
          <w:szCs w:val="24"/>
        </w:rPr>
      </w:pPr>
      <w:r>
        <w:rPr>
          <w:rFonts w:hint="eastAsia" w:ascii="黑体" w:hAnsi="黑体" w:eastAsia="黑体" w:cs="宋体"/>
          <w:color w:val="333333"/>
          <w:kern w:val="0"/>
          <w:sz w:val="32"/>
          <w:szCs w:val="32"/>
          <w:shd w:val="clear" w:color="auto" w:fill="FFFFFF"/>
        </w:rPr>
        <w:t>六、其他需要报告的事项</w:t>
      </w:r>
    </w:p>
    <w:p>
      <w:pPr>
        <w:widowControl/>
        <w:shd w:val="clear" w:color="auto" w:fill="FFFFFF"/>
        <w:ind w:firstLine="640" w:firstLineChars="200"/>
        <w:rPr>
          <w:rFonts w:hint="eastAsia" w:ascii="宋体" w:hAnsi="宋体" w:eastAsia="宋体" w:cs="宋体"/>
          <w:kern w:val="0"/>
          <w:sz w:val="24"/>
          <w:szCs w:val="24"/>
        </w:rPr>
      </w:pPr>
      <w:r>
        <w:rPr>
          <w:rFonts w:hint="eastAsia" w:ascii="仿宋_GB2312" w:hAnsi="宋体" w:eastAsia="仿宋_GB2312" w:cs="宋体"/>
          <w:color w:val="333333"/>
          <w:kern w:val="0"/>
          <w:sz w:val="32"/>
          <w:szCs w:val="32"/>
          <w:shd w:val="clear" w:color="auto" w:fill="FFFFFF"/>
        </w:rPr>
        <w:t xml:space="preserve">         为确保信息公开不发生泄密事件，对拟公开事项，我中心先召开领导班子会议研究，通过后再进行公开。对每次公开的内容，广泛听取群众意见和建议，及时纠正工作中存在的问题，整理归档，总结经验，改进工作，不断提高政务信息公开工作的质量和效果。另外，利用集体学习、全体干部职工会等方式，加强对全体干部职工信息公开培训，营造良好的信息公开氛围和环境。</w:t>
      </w:r>
    </w:p>
    <w:p>
      <w:pPr>
        <w:widowControl/>
        <w:snapToGrid w:val="0"/>
        <w:spacing w:line="390" w:lineRule="atLeast"/>
        <w:rPr>
          <w:rFonts w:hint="eastAsia" w:ascii="宋体" w:hAnsi="宋体" w:eastAsia="宋体" w:cs="宋体"/>
          <w:kern w:val="0"/>
          <w:sz w:val="24"/>
          <w:szCs w:val="24"/>
        </w:rPr>
      </w:pPr>
      <w:r>
        <w:rPr>
          <w:rFonts w:hint="eastAsia" w:ascii="宋体" w:hAnsi="宋体" w:eastAsia="宋体" w:cs="宋体"/>
          <w:color w:val="333333"/>
          <w:kern w:val="0"/>
          <w:sz w:val="28"/>
          <w:szCs w:val="28"/>
          <w:shd w:val="clear" w:color="auto" w:fill="FFFFFF"/>
        </w:rPr>
        <w:t xml:space="preserve">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left"/>
        <w:rPr>
          <w:rFonts w:hint="eastAsia" w:ascii="宋体" w:hAnsi="宋体" w:eastAsia="宋体" w:cs="宋体"/>
          <w:kern w:val="0"/>
          <w:sz w:val="24"/>
          <w:szCs w:val="24"/>
        </w:rPr>
      </w:pPr>
      <w:r>
        <w:rPr>
          <w:rFonts w:hint="eastAsia" w:ascii="宋体" w:hAnsi="宋体" w:eastAsia="宋体" w:cs="宋体"/>
          <w:kern w:val="0"/>
          <w:sz w:val="32"/>
          <w:szCs w:val="32"/>
        </w:rPr>
        <w:t>  </w:t>
      </w:r>
      <w:r>
        <w:rPr>
          <w:rFonts w:hint="eastAsia" w:ascii="楷体" w:hAnsi="楷体" w:eastAsia="楷体" w:cs="楷体"/>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7456"/>
    <w:rsid w:val="00472EA2"/>
    <w:rsid w:val="00BE7456"/>
    <w:rsid w:val="027F7B35"/>
    <w:rsid w:val="5D0E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1"/>
    <w:basedOn w:val="1"/>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502</Words>
  <Characters>2867</Characters>
  <Lines>23</Lines>
  <Paragraphs>6</Paragraphs>
  <TotalTime>3</TotalTime>
  <ScaleCrop>false</ScaleCrop>
  <LinksUpToDate>false</LinksUpToDate>
  <CharactersWithSpaces>3363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2020-06-29T02:27:00Z</dcterms:created>
  <dc:creator>Administrator</dc:creator>
  <cp:lastModifiedBy>admin</cp:lastModifiedBy>
  <cp:lastPrinted>2020-06-29T02:28:00Z</cp:lastPrinted>
  <dcterms:modified xsi:type="dcterms:W3CDTF">2021-09-26T02:23:19Z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62C7966030EF4F0B90EB16CFFE6E8CA4</vt:lpwstr>
  </property>
</Properties>
</file>