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昌乐县畜牧业发展中心2020年政府信息</w:t>
      </w:r>
    </w:p>
    <w:p>
      <w:pPr>
        <w:spacing w:line="60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公开工作年度报告</w:t>
      </w:r>
    </w:p>
    <w:p>
      <w:pPr>
        <w:spacing w:line="600" w:lineRule="exact"/>
        <w:ind w:firstLine="640" w:firstLineChars="200"/>
        <w:rPr>
          <w:rFonts w:ascii="黑体" w:hAnsi="黑体" w:eastAsia="黑体" w:cs="黑体"/>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山东省政府信息公开办法》《潍坊市人民政府办公室关于做好2019年政府信息公开工作年度报告编制发布和报送工作的通知》要求，结合我中心实际，编制并向社会公布昌乐县畜牧业发展中心2020年政府信息公开工作年度报告。本年度报告中所列数据的统计期限自2020年1月1日起，至2020年12月31日止。如对本报告有疑问，请联系昌乐县畜牧业发展中心办公室，联系电话0536-6222187。</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一、总体情况</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（一）主动公开情况。</w:t>
      </w:r>
      <w:r>
        <w:rPr>
          <w:rFonts w:hint="eastAsia" w:ascii="仿宋_GB2312" w:hAnsi="仿宋_GB2312" w:eastAsia="仿宋_GB2312" w:cs="仿宋_GB2312"/>
          <w:sz w:val="32"/>
          <w:szCs w:val="32"/>
        </w:rPr>
        <w:t>2020年，我中心认真抓好《中华人民共和国政府信息公开条例》的贯彻落实，统筹推进政府信息公开工作，不断增强政府信息公开实效，把政府信息公开作为加强党风廉政建设，转变工作作风，提高办事效率的重要内容，强化责任落实，完善工作机制，提高工作能力，切实做到以公开促进畜牧事业健康快速发展。一是组织培训，加强宣传，营造良好的政府信息公开工作氛围，定期、不定期的组织负责政府信息公开工作的工作人员参加业务学习和培训，全面提高有关人员做好政府信息公开工作的能力和水平</w:t>
      </w:r>
      <w:r>
        <w:rPr>
          <w:rFonts w:hint="eastAsia" w:ascii="仿宋_GB2312" w:hAnsi="仿宋_GB2312" w:eastAsia="仿宋_GB2312" w:cs="仿宋_GB2312"/>
          <w:color w:val="000000" w:themeColor="text1"/>
          <w:sz w:val="32"/>
          <w:szCs w:val="32"/>
        </w:rPr>
        <w:t>。2020年，我中心共发布信息31条。二</w:t>
      </w:r>
      <w:r>
        <w:rPr>
          <w:rFonts w:hint="eastAsia" w:ascii="仿宋_GB2312" w:hAnsi="仿宋_GB2312" w:eastAsia="仿宋_GB2312" w:cs="仿宋_GB2312"/>
          <w:sz w:val="32"/>
          <w:szCs w:val="32"/>
        </w:rPr>
        <w:t>是加强公开内容管理，规范信息公开流程、程序、公开方式和时限要求，形成更加科学和规范的政府信息公开指南和目录，并按照“公开为原则，不公开为例外”的总要求，除涉密和少数</w:t>
      </w:r>
      <w:r>
        <w:rPr>
          <w:rFonts w:hint="eastAsia" w:ascii="楷体_GB2312" w:hAnsi="楷体_GB2312" w:eastAsia="楷体_GB2312" w:cs="楷体_GB2312"/>
          <w:sz w:val="32"/>
          <w:szCs w:val="32"/>
        </w:rPr>
        <w:drawing>
          <wp:anchor distT="0" distB="0" distL="114300" distR="114300" simplePos="0" relativeHeight="251658240" behindDoc="0" locked="0" layoutInCell="1" allowOverlap="1">
            <wp:simplePos x="0" y="0"/>
            <wp:positionH relativeFrom="column">
              <wp:posOffset>6985</wp:posOffset>
            </wp:positionH>
            <wp:positionV relativeFrom="paragraph">
              <wp:posOffset>1323975</wp:posOffset>
            </wp:positionV>
            <wp:extent cx="5273675" cy="3462020"/>
            <wp:effectExtent l="0" t="0" r="3175" b="5080"/>
            <wp:wrapSquare wrapText="bothSides"/>
            <wp:docPr id="2" name="图片 2" descr="微信图片_2021012115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121153713"/>
                    <pic:cNvPicPr>
                      <a:picLocks noChangeAspect="1"/>
                    </pic:cNvPicPr>
                  </pic:nvPicPr>
                  <pic:blipFill>
                    <a:blip r:embed="rId4"/>
                    <a:stretch>
                      <a:fillRect/>
                    </a:stretch>
                  </pic:blipFill>
                  <pic:spPr>
                    <a:xfrm>
                      <a:off x="0" y="0"/>
                      <a:ext cx="5273675" cy="3462020"/>
                    </a:xfrm>
                    <a:prstGeom prst="rect">
                      <a:avLst/>
                    </a:prstGeom>
                  </pic:spPr>
                </pic:pic>
              </a:graphicData>
            </a:graphic>
          </wp:anchor>
        </w:drawing>
      </w:r>
      <w:r>
        <w:rPr>
          <w:rFonts w:hint="eastAsia" w:ascii="仿宋_GB2312" w:hAnsi="仿宋_GB2312" w:eastAsia="仿宋_GB2312" w:cs="仿宋_GB2312"/>
          <w:sz w:val="32"/>
          <w:szCs w:val="32"/>
        </w:rPr>
        <w:t>敏感性信息外，最大限度地主动公开了应公开各类信息。三是积极做好依申请公开工作，对属于依申请公开的政府信息，根据申请人的申请，及时向申请人进行公开。</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（二）依申请公开情况。</w:t>
      </w:r>
      <w:r>
        <w:rPr>
          <w:rFonts w:hint="eastAsia" w:ascii="仿宋_GB2312" w:hAnsi="仿宋_GB2312" w:eastAsia="仿宋_GB2312" w:cs="仿宋_GB2312"/>
          <w:sz w:val="32"/>
          <w:szCs w:val="32"/>
        </w:rPr>
        <w:t>对属于依申请公开的政府信息，根据申请人的申请，及时向申请人进行公开。</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（三）政府信息管理情况。</w:t>
      </w:r>
      <w:r>
        <w:rPr>
          <w:rFonts w:hint="eastAsia" w:ascii="仿宋_GB2312" w:hAnsi="仿宋_GB2312" w:eastAsia="仿宋_GB2312" w:cs="仿宋_GB2312"/>
          <w:sz w:val="32"/>
          <w:szCs w:val="32"/>
        </w:rPr>
        <w:t>一是进一步完善政务信息常态化管理机制，不断建立健全政务信息制作、公开等制度。二是及时开展本部门相关业务政策措施进行解读和宣传，及时动态调整。</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（四）公开平台建设情况。</w:t>
      </w:r>
      <w:r>
        <w:rPr>
          <w:rFonts w:hint="eastAsia" w:ascii="仿宋_GB2312" w:hAnsi="仿宋_GB2312" w:eastAsia="仿宋_GB2312" w:cs="仿宋_GB2312"/>
          <w:sz w:val="32"/>
          <w:szCs w:val="32"/>
        </w:rPr>
        <w:t>主要通过“昌乐政务网”信息公开专栏等平台主动公开政府信息。</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（五）机构建设及人员配置情况。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机构改革要求，结合内部科室调整情况，及时调整中心系统政务公开领导小组，重新确定分管负责人，全面负责做好中心机关政府信息公开管理工作，办公室为信息公开工作机构，并安排专人具体负责，同时，中心内各科室、单位也将信息公开工作作为日常工作的规定动作，适合公开发布的信息及时主动报送办公室，确保信息准确性和时效性。</w:t>
      </w:r>
    </w:p>
    <w:p>
      <w:pPr>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（六）监督保障情况。</w:t>
      </w:r>
      <w:r>
        <w:rPr>
          <w:rFonts w:hint="eastAsia" w:ascii="仿宋_GB2312" w:hAnsi="仿宋_GB2312" w:eastAsia="仿宋_GB2312" w:cs="仿宋_GB2312"/>
          <w:sz w:val="32"/>
          <w:szCs w:val="32"/>
        </w:rPr>
        <w:t>一是组织领导到位。坚持把推进政府信息公开工作作为机关日常工作来抓，明确机关分管领导、承办科室、具体工作人员的责任，加强各科室（站）配合与协助，全力做好信息公开工作，确保现代化畜牧业信息公开规范有序开展。二是坚持落实政务公开制度。坚持“公开是原则，不公开为例外”，认真落实机关政务信息公开年度报告，确定岗位职责，明确投诉举报方式。</w:t>
      </w:r>
    </w:p>
    <w:p>
      <w:pPr>
        <w:pStyle w:val="4"/>
        <w:spacing w:beforeLines="50" w:beforeAutospacing="0" w:afterLines="50" w:afterAutospacing="0" w:line="360" w:lineRule="auto"/>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）建议提案办理结果公开情况。</w:t>
      </w:r>
      <w:r>
        <w:rPr>
          <w:rFonts w:hint="eastAsia" w:ascii="仿宋_GB2312" w:hAnsi="仿宋_GB2312" w:eastAsia="仿宋_GB2312" w:cs="仿宋_GB2312"/>
          <w:sz w:val="32"/>
          <w:szCs w:val="32"/>
        </w:rPr>
        <w:t>我中心高度重视人大代表建议和政协委员提案办理情况，主动接受群众监督，回应社会关切。2020年共办理人大代表建议2件，政协委员提案2件，均按照要求将人大代表建议、政协委员提案办理情况主动进行公开。</w:t>
      </w:r>
    </w:p>
    <w:p>
      <w:pPr>
        <w:pStyle w:val="4"/>
        <w:spacing w:beforeLines="50" w:beforeAutospacing="0" w:afterLines="50" w:afterAutospacing="0" w:line="360" w:lineRule="auto"/>
        <w:ind w:firstLine="643" w:firstLineChars="200"/>
        <w:rPr>
          <w:rFonts w:ascii="黑体" w:eastAsia="黑体"/>
          <w:b/>
          <w:sz w:val="32"/>
          <w:szCs w:val="32"/>
        </w:rPr>
      </w:pPr>
      <w:r>
        <w:rPr>
          <w:rFonts w:hint="eastAsia" w:ascii="黑体" w:eastAsia="黑体"/>
          <w:b/>
          <w:sz w:val="32"/>
          <w:szCs w:val="32"/>
        </w:rPr>
        <w:t>二、主动公开政府信息情况</w:t>
      </w:r>
    </w:p>
    <w:tbl>
      <w:tblPr>
        <w:tblStyle w:val="5"/>
        <w:tblW w:w="8708" w:type="dxa"/>
        <w:jc w:val="center"/>
        <w:tblLayout w:type="fixed"/>
        <w:tblCellMar>
          <w:top w:w="0" w:type="dxa"/>
          <w:left w:w="0" w:type="dxa"/>
          <w:bottom w:w="0" w:type="dxa"/>
          <w:right w:w="0" w:type="dxa"/>
        </w:tblCellMar>
      </w:tblPr>
      <w:tblGrid>
        <w:gridCol w:w="3073"/>
        <w:gridCol w:w="17"/>
        <w:gridCol w:w="2095"/>
        <w:gridCol w:w="1505"/>
        <w:gridCol w:w="2018"/>
      </w:tblGrid>
      <w:tr>
        <w:tblPrEx>
          <w:tblCellMar>
            <w:top w:w="0" w:type="dxa"/>
            <w:left w:w="0" w:type="dxa"/>
            <w:bottom w:w="0" w:type="dxa"/>
            <w:right w:w="0" w:type="dxa"/>
          </w:tblCellMar>
        </w:tblPrEx>
        <w:trPr>
          <w:trHeight w:val="619" w:hRule="atLeast"/>
          <w:jc w:val="center"/>
        </w:trPr>
        <w:tc>
          <w:tcPr>
            <w:tcW w:w="8708"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sz w:val="24"/>
              </w:rPr>
            </w:pPr>
            <w:r>
              <w:rPr>
                <w:rFonts w:hint="eastAsia" w:ascii="宋体" w:hAnsi="宋体" w:cs="宋体"/>
                <w:color w:val="000000"/>
                <w:kern w:val="0"/>
                <w:sz w:val="24"/>
              </w:rPr>
              <w:t>第二十条第（一）项</w:t>
            </w:r>
          </w:p>
        </w:tc>
      </w:tr>
      <w:tr>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信息内容</w:t>
            </w:r>
          </w:p>
        </w:tc>
        <w:tc>
          <w:tcPr>
            <w:tcW w:w="2112" w:type="dxa"/>
            <w:gridSpan w:val="2"/>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本年新制作数量</w:t>
            </w:r>
          </w:p>
        </w:tc>
        <w:tc>
          <w:tcPr>
            <w:tcW w:w="150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本年新</w:t>
            </w:r>
            <w:r>
              <w:rPr>
                <w:rFonts w:hint="eastAsia" w:ascii="宋体" w:hAnsi="宋体" w:cs="宋体"/>
                <w:color w:val="000000"/>
                <w:kern w:val="0"/>
                <w:sz w:val="24"/>
              </w:rPr>
              <w:br w:type="textWrapping"/>
            </w:r>
            <w:r>
              <w:rPr>
                <w:rFonts w:hint="eastAsia" w:ascii="宋体" w:hAnsi="宋体" w:cs="宋体"/>
                <w:color w:val="000000"/>
                <w:kern w:val="0"/>
                <w:sz w:val="24"/>
              </w:rPr>
              <w:t>公开数量</w:t>
            </w:r>
          </w:p>
        </w:tc>
        <w:tc>
          <w:tcPr>
            <w:tcW w:w="2018"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对外公开</w:t>
            </w:r>
          </w:p>
          <w:p>
            <w:pPr>
              <w:widowControl/>
              <w:jc w:val="center"/>
              <w:rPr>
                <w:rFonts w:ascii="宋体" w:hAnsi="宋体" w:cs="宋体"/>
                <w:color w:val="000000"/>
                <w:kern w:val="0"/>
                <w:sz w:val="24"/>
              </w:rPr>
            </w:pPr>
            <w:r>
              <w:rPr>
                <w:rFonts w:hint="eastAsia" w:ascii="宋体" w:hAnsi="宋体" w:cs="宋体"/>
                <w:color w:val="000000"/>
                <w:kern w:val="0"/>
                <w:sz w:val="24"/>
              </w:rPr>
              <w:t>总数量</w:t>
            </w:r>
          </w:p>
        </w:tc>
      </w:tr>
      <w:tr>
        <w:tblPrEx>
          <w:tblCellMar>
            <w:top w:w="0" w:type="dxa"/>
            <w:left w:w="0" w:type="dxa"/>
            <w:bottom w:w="0" w:type="dxa"/>
            <w:right w:w="0" w:type="dxa"/>
          </w:tblCellMar>
        </w:tblPrEx>
        <w:trPr>
          <w:trHeight w:val="489"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规章</w:t>
            </w:r>
          </w:p>
        </w:tc>
        <w:tc>
          <w:tcPr>
            <w:tcW w:w="2112"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c>
          <w:tcPr>
            <w:tcW w:w="150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eastAsia="宋体" w:cs="宋体"/>
                <w:color w:val="000000"/>
                <w:kern w:val="0"/>
                <w:sz w:val="24"/>
              </w:rPr>
            </w:pPr>
            <w:r>
              <w:rPr>
                <w:rFonts w:hint="eastAsia" w:ascii="宋体" w:hAnsi="宋体" w:cs="宋体"/>
                <w:color w:val="000000"/>
                <w:kern w:val="0"/>
                <w:sz w:val="24"/>
              </w:rPr>
              <w:t> 0</w:t>
            </w:r>
          </w:p>
        </w:tc>
        <w:tc>
          <w:tcPr>
            <w:tcW w:w="2018"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eastAsia="宋体" w:cs="宋体"/>
                <w:color w:val="000000"/>
                <w:kern w:val="0"/>
                <w:sz w:val="24"/>
              </w:rPr>
            </w:pPr>
            <w:r>
              <w:rPr>
                <w:rFonts w:hint="eastAsia" w:ascii="宋体" w:hAnsi="宋体" w:cs="宋体"/>
                <w:color w:val="000000"/>
                <w:kern w:val="0"/>
                <w:sz w:val="24"/>
              </w:rPr>
              <w:t>　0</w:t>
            </w:r>
          </w:p>
        </w:tc>
      </w:tr>
      <w:tr>
        <w:tblPrEx>
          <w:tblCellMar>
            <w:top w:w="0" w:type="dxa"/>
            <w:left w:w="0" w:type="dxa"/>
            <w:bottom w:w="0" w:type="dxa"/>
            <w:right w:w="0" w:type="dxa"/>
          </w:tblCellMar>
        </w:tblPrEx>
        <w:trPr>
          <w:trHeight w:val="494"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规范性文件</w:t>
            </w:r>
          </w:p>
        </w:tc>
        <w:tc>
          <w:tcPr>
            <w:tcW w:w="2112"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eastAsia="宋体" w:cs="宋体"/>
                <w:color w:val="000000"/>
                <w:kern w:val="0"/>
                <w:sz w:val="24"/>
              </w:rPr>
            </w:pPr>
            <w:r>
              <w:rPr>
                <w:rFonts w:hint="eastAsia" w:ascii="宋体" w:hAnsi="宋体" w:cs="宋体"/>
                <w:color w:val="000000"/>
                <w:kern w:val="0"/>
                <w:sz w:val="24"/>
              </w:rPr>
              <w:t>0</w:t>
            </w:r>
          </w:p>
        </w:tc>
        <w:tc>
          <w:tcPr>
            <w:tcW w:w="150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eastAsia="宋体" w:cs="宋体"/>
                <w:color w:val="000000"/>
                <w:kern w:val="0"/>
                <w:sz w:val="24"/>
              </w:rPr>
            </w:pPr>
            <w:r>
              <w:rPr>
                <w:rFonts w:hint="eastAsia" w:ascii="宋体" w:hAnsi="宋体" w:cs="宋体"/>
                <w:color w:val="000000"/>
                <w:kern w:val="0"/>
                <w:sz w:val="24"/>
              </w:rPr>
              <w:t xml:space="preserve">  0</w:t>
            </w:r>
          </w:p>
        </w:tc>
        <w:tc>
          <w:tcPr>
            <w:tcW w:w="2018"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  0　</w:t>
            </w:r>
          </w:p>
        </w:tc>
      </w:tr>
      <w:tr>
        <w:tblPrEx>
          <w:tblCellMar>
            <w:top w:w="0" w:type="dxa"/>
            <w:left w:w="0" w:type="dxa"/>
            <w:bottom w:w="0" w:type="dxa"/>
            <w:right w:w="0"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第二十条第（五）项</w:t>
            </w:r>
          </w:p>
        </w:tc>
      </w:tr>
      <w:tr>
        <w:tblPrEx>
          <w:tblCellMar>
            <w:top w:w="0" w:type="dxa"/>
            <w:left w:w="0" w:type="dxa"/>
            <w:bottom w:w="0" w:type="dxa"/>
            <w:right w:w="0" w:type="dxa"/>
          </w:tblCellMar>
        </w:tblPrEx>
        <w:trPr>
          <w:trHeight w:val="606"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信息内容</w:t>
            </w:r>
          </w:p>
        </w:tc>
        <w:tc>
          <w:tcPr>
            <w:tcW w:w="2112" w:type="dxa"/>
            <w:gridSpan w:val="2"/>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上一年项目数量</w:t>
            </w:r>
          </w:p>
        </w:tc>
        <w:tc>
          <w:tcPr>
            <w:tcW w:w="150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本年增/减</w:t>
            </w:r>
          </w:p>
        </w:tc>
        <w:tc>
          <w:tcPr>
            <w:tcW w:w="2018"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处理决定数量</w:t>
            </w:r>
          </w:p>
        </w:tc>
      </w:tr>
      <w:tr>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行政许可</w:t>
            </w:r>
          </w:p>
        </w:tc>
        <w:tc>
          <w:tcPr>
            <w:tcW w:w="2112"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1</w:t>
            </w:r>
          </w:p>
        </w:tc>
        <w:tc>
          <w:tcPr>
            <w:tcW w:w="150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-1</w:t>
            </w:r>
          </w:p>
        </w:tc>
        <w:tc>
          <w:tcPr>
            <w:tcW w:w="2018"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0</w:t>
            </w:r>
          </w:p>
        </w:tc>
      </w:tr>
      <w:tr>
        <w:tblPrEx>
          <w:tblCellMar>
            <w:top w:w="0" w:type="dxa"/>
            <w:left w:w="0" w:type="dxa"/>
            <w:bottom w:w="0" w:type="dxa"/>
            <w:right w:w="0"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其他对外管理服务事项</w:t>
            </w:r>
          </w:p>
        </w:tc>
        <w:tc>
          <w:tcPr>
            <w:tcW w:w="2112"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ascii="宋体" w:hAnsi="宋体" w:cs="宋体" w:eastAsiaTheme="minorEastAsia"/>
                <w:color w:val="000000"/>
                <w:kern w:val="0"/>
                <w:sz w:val="24"/>
                <w:lang w:val="en-US" w:eastAsia="zh-CN"/>
              </w:rPr>
            </w:pPr>
            <w:r>
              <w:rPr>
                <w:rFonts w:hint="eastAsia" w:ascii="宋体" w:hAnsi="宋体" w:cs="宋体"/>
                <w:color w:val="000000"/>
                <w:kern w:val="0"/>
                <w:sz w:val="24"/>
              </w:rPr>
              <w:t>　</w:t>
            </w:r>
            <w:r>
              <w:rPr>
                <w:rFonts w:hint="eastAsia" w:ascii="宋体" w:hAnsi="宋体" w:cs="宋体"/>
                <w:color w:val="000000"/>
                <w:kern w:val="0"/>
                <w:sz w:val="24"/>
                <w:lang w:val="en-US" w:eastAsia="zh-CN"/>
              </w:rPr>
              <w:t>15</w:t>
            </w:r>
          </w:p>
        </w:tc>
        <w:tc>
          <w:tcPr>
            <w:tcW w:w="150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c>
          <w:tcPr>
            <w:tcW w:w="2018"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0　</w:t>
            </w:r>
          </w:p>
        </w:tc>
      </w:tr>
      <w:tr>
        <w:tblPrEx>
          <w:tblCellMar>
            <w:top w:w="0" w:type="dxa"/>
            <w:left w:w="0" w:type="dxa"/>
            <w:bottom w:w="0" w:type="dxa"/>
            <w:right w:w="0"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第二十条第（六）项</w:t>
            </w:r>
          </w:p>
        </w:tc>
      </w:tr>
      <w:tr>
        <w:tblPrEx>
          <w:tblCellMar>
            <w:top w:w="0" w:type="dxa"/>
            <w:left w:w="0" w:type="dxa"/>
            <w:bottom w:w="0" w:type="dxa"/>
            <w:right w:w="0" w:type="dxa"/>
          </w:tblCellMar>
        </w:tblPrEx>
        <w:trPr>
          <w:trHeight w:val="562"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信息内容</w:t>
            </w:r>
          </w:p>
        </w:tc>
        <w:tc>
          <w:tcPr>
            <w:tcW w:w="2112" w:type="dxa"/>
            <w:gridSpan w:val="2"/>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上一年项目数量</w:t>
            </w:r>
          </w:p>
        </w:tc>
        <w:tc>
          <w:tcPr>
            <w:tcW w:w="150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本年增/减</w:t>
            </w:r>
          </w:p>
        </w:tc>
        <w:tc>
          <w:tcPr>
            <w:tcW w:w="2018"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处理决定数量</w:t>
            </w:r>
          </w:p>
        </w:tc>
      </w:tr>
      <w:tr>
        <w:tblPrEx>
          <w:tblCellMar>
            <w:top w:w="0" w:type="dxa"/>
            <w:left w:w="0" w:type="dxa"/>
            <w:bottom w:w="0" w:type="dxa"/>
            <w:right w:w="0" w:type="dxa"/>
          </w:tblCellMar>
        </w:tblPrEx>
        <w:trPr>
          <w:trHeight w:val="580"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行政处罚</w:t>
            </w:r>
          </w:p>
        </w:tc>
        <w:tc>
          <w:tcPr>
            <w:tcW w:w="2112"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2</w:t>
            </w:r>
          </w:p>
        </w:tc>
        <w:tc>
          <w:tcPr>
            <w:tcW w:w="150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2018"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0</w:t>
            </w:r>
            <w:bookmarkStart w:id="0" w:name="_GoBack"/>
            <w:bookmarkEnd w:id="0"/>
          </w:p>
        </w:tc>
      </w:tr>
      <w:tr>
        <w:tblPrEx>
          <w:tblCellMar>
            <w:top w:w="0" w:type="dxa"/>
            <w:left w:w="0" w:type="dxa"/>
            <w:bottom w:w="0" w:type="dxa"/>
            <w:right w:w="0" w:type="dxa"/>
          </w:tblCellMar>
        </w:tblPrEx>
        <w:trPr>
          <w:trHeight w:val="499"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行政强制</w:t>
            </w:r>
          </w:p>
        </w:tc>
        <w:tc>
          <w:tcPr>
            <w:tcW w:w="2112"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eastAsia="宋体" w:cs="宋体"/>
                <w:color w:val="000000"/>
                <w:kern w:val="0"/>
                <w:sz w:val="24"/>
              </w:rPr>
            </w:pPr>
            <w:r>
              <w:rPr>
                <w:rFonts w:hint="eastAsia" w:ascii="宋体" w:hAnsi="宋体" w:cs="宋体"/>
                <w:color w:val="000000"/>
                <w:kern w:val="0"/>
                <w:sz w:val="24"/>
              </w:rPr>
              <w:t>　0</w:t>
            </w:r>
          </w:p>
        </w:tc>
        <w:tc>
          <w:tcPr>
            <w:tcW w:w="150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  0　</w:t>
            </w:r>
          </w:p>
        </w:tc>
        <w:tc>
          <w:tcPr>
            <w:tcW w:w="2018"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eastAsia="宋体" w:cs="宋体"/>
                <w:color w:val="000000"/>
                <w:kern w:val="0"/>
                <w:sz w:val="24"/>
              </w:rPr>
            </w:pPr>
            <w:r>
              <w:rPr>
                <w:rFonts w:hint="eastAsia" w:ascii="宋体" w:hAnsi="宋体" w:cs="宋体"/>
                <w:color w:val="000000"/>
                <w:kern w:val="0"/>
                <w:sz w:val="24"/>
              </w:rPr>
              <w:t>0</w:t>
            </w:r>
          </w:p>
        </w:tc>
      </w:tr>
      <w:tr>
        <w:tblPrEx>
          <w:tblCellMar>
            <w:top w:w="0" w:type="dxa"/>
            <w:left w:w="0" w:type="dxa"/>
            <w:bottom w:w="0" w:type="dxa"/>
            <w:right w:w="0" w:type="dxa"/>
          </w:tblCellMar>
        </w:tblPrEx>
        <w:trPr>
          <w:trHeight w:val="579" w:hRule="atLeast"/>
          <w:jc w:val="center"/>
        </w:trPr>
        <w:tc>
          <w:tcPr>
            <w:tcW w:w="8708" w:type="dxa"/>
            <w:gridSpan w:val="5"/>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第二十条第（八）项</w:t>
            </w:r>
          </w:p>
        </w:tc>
      </w:tr>
      <w:tr>
        <w:tblPrEx>
          <w:tblCellMar>
            <w:top w:w="0" w:type="dxa"/>
            <w:left w:w="0" w:type="dxa"/>
            <w:bottom w:w="0" w:type="dxa"/>
            <w:right w:w="0" w:type="dxa"/>
          </w:tblCellMar>
        </w:tblPrEx>
        <w:trPr>
          <w:trHeight w:val="522"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信息内容</w:t>
            </w:r>
          </w:p>
        </w:tc>
        <w:tc>
          <w:tcPr>
            <w:tcW w:w="2112"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上一年项目数量</w:t>
            </w:r>
          </w:p>
        </w:tc>
        <w:tc>
          <w:tcPr>
            <w:tcW w:w="3523"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本年增/减</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行政事业性收费</w:t>
            </w:r>
          </w:p>
        </w:tc>
        <w:tc>
          <w:tcPr>
            <w:tcW w:w="2112"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eastAsia="宋体" w:cs="宋体"/>
                <w:color w:val="000000"/>
                <w:kern w:val="0"/>
                <w:sz w:val="24"/>
              </w:rPr>
            </w:pPr>
            <w:r>
              <w:rPr>
                <w:rFonts w:hint="eastAsia" w:ascii="宋体" w:hAnsi="宋体" w:cs="宋体"/>
                <w:color w:val="000000"/>
                <w:kern w:val="0"/>
                <w:sz w:val="24"/>
              </w:rPr>
              <w:t>　0</w:t>
            </w:r>
          </w:p>
        </w:tc>
        <w:tc>
          <w:tcPr>
            <w:tcW w:w="3523" w:type="dxa"/>
            <w:gridSpan w:val="2"/>
            <w:tcBorders>
              <w:top w:val="nil"/>
              <w:left w:val="nil"/>
              <w:bottom w:val="single" w:color="auto" w:sz="8" w:space="0"/>
              <w:right w:val="single" w:color="000000" w:sz="8" w:space="0"/>
            </w:tcBorders>
            <w:noWrap/>
            <w:tcMar>
              <w:left w:w="108" w:type="dxa"/>
              <w:right w:w="108" w:type="dxa"/>
            </w:tcMar>
            <w:vAlign w:val="center"/>
          </w:tcPr>
          <w:p>
            <w:pPr>
              <w:widowControl/>
              <w:jc w:val="center"/>
              <w:rPr>
                <w:rFonts w:ascii="宋体" w:hAnsi="宋体" w:eastAsia="宋体" w:cs="宋体"/>
                <w:color w:val="000000"/>
                <w:kern w:val="0"/>
                <w:sz w:val="24"/>
              </w:rPr>
            </w:pPr>
            <w:r>
              <w:rPr>
                <w:rFonts w:hint="eastAsia" w:ascii="宋体" w:hAnsi="宋体" w:cs="宋体"/>
                <w:color w:val="000000"/>
                <w:kern w:val="0"/>
                <w:sz w:val="24"/>
              </w:rPr>
              <w:t> 0</w:t>
            </w:r>
          </w:p>
        </w:tc>
      </w:tr>
      <w:tr>
        <w:tblPrEx>
          <w:tblCellMar>
            <w:top w:w="0" w:type="dxa"/>
            <w:left w:w="0" w:type="dxa"/>
            <w:bottom w:w="0" w:type="dxa"/>
            <w:right w:w="0"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第二十条第（九）项</w:t>
            </w:r>
          </w:p>
        </w:tc>
      </w:tr>
      <w:tr>
        <w:tblPrEx>
          <w:tblCellMar>
            <w:top w:w="0" w:type="dxa"/>
            <w:left w:w="0" w:type="dxa"/>
            <w:bottom w:w="0" w:type="dxa"/>
            <w:right w:w="0" w:type="dxa"/>
          </w:tblCellMar>
        </w:tblPrEx>
        <w:trPr>
          <w:trHeight w:val="772" w:hRule="atLeast"/>
          <w:jc w:val="center"/>
        </w:trPr>
        <w:tc>
          <w:tcPr>
            <w:tcW w:w="3090" w:type="dxa"/>
            <w:gridSpan w:val="2"/>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信息内容</w:t>
            </w:r>
          </w:p>
        </w:tc>
        <w:tc>
          <w:tcPr>
            <w:tcW w:w="209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采购项目数量</w:t>
            </w:r>
          </w:p>
        </w:tc>
        <w:tc>
          <w:tcPr>
            <w:tcW w:w="3523"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jc w:val="center"/>
              <w:rPr>
                <w:rFonts w:ascii="宋体" w:hAnsi="宋体" w:cs="宋体"/>
                <w:color w:val="000000"/>
                <w:kern w:val="0"/>
                <w:sz w:val="24"/>
              </w:rPr>
            </w:pPr>
            <w:r>
              <w:rPr>
                <w:rFonts w:hint="eastAsia" w:ascii="宋体" w:hAnsi="宋体" w:cs="宋体"/>
                <w:color w:val="000000"/>
                <w:kern w:val="0"/>
                <w:sz w:val="24"/>
              </w:rPr>
              <w:t>采购总金额</w:t>
            </w:r>
          </w:p>
        </w:tc>
      </w:tr>
      <w:tr>
        <w:tblPrEx>
          <w:tblCellMar>
            <w:top w:w="0" w:type="dxa"/>
            <w:left w:w="0" w:type="dxa"/>
            <w:bottom w:w="0" w:type="dxa"/>
            <w:right w:w="0" w:type="dxa"/>
          </w:tblCellMar>
        </w:tblPrEx>
        <w:trPr>
          <w:trHeight w:val="609" w:hRule="atLeast"/>
          <w:jc w:val="center"/>
        </w:trPr>
        <w:tc>
          <w:tcPr>
            <w:tcW w:w="3090" w:type="dxa"/>
            <w:gridSpan w:val="2"/>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宋体" w:hAnsi="宋体" w:cs="宋体"/>
                <w:color w:val="000000"/>
                <w:kern w:val="0"/>
                <w:sz w:val="24"/>
              </w:rPr>
            </w:pPr>
            <w:r>
              <w:rPr>
                <w:rFonts w:hint="eastAsia" w:ascii="宋体" w:hAnsi="宋体" w:cs="宋体"/>
                <w:color w:val="000000"/>
                <w:kern w:val="0"/>
                <w:sz w:val="24"/>
              </w:rPr>
              <w:t>政府集中采购</w:t>
            </w:r>
          </w:p>
        </w:tc>
        <w:tc>
          <w:tcPr>
            <w:tcW w:w="209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12</w:t>
            </w:r>
          </w:p>
        </w:tc>
        <w:tc>
          <w:tcPr>
            <w:tcW w:w="3523" w:type="dxa"/>
            <w:gridSpan w:val="2"/>
            <w:tcBorders>
              <w:top w:val="nil"/>
              <w:left w:val="nil"/>
              <w:bottom w:val="single" w:color="auto" w:sz="8" w:space="0"/>
              <w:right w:val="single" w:color="000000" w:sz="8" w:space="0"/>
            </w:tcBorders>
            <w:noWrap/>
            <w:tcMar>
              <w:left w:w="108" w:type="dxa"/>
              <w:right w:w="108" w:type="dxa"/>
            </w:tcMar>
            <w:vAlign w:val="center"/>
          </w:tcPr>
          <w:p>
            <w:pPr>
              <w:jc w:val="center"/>
              <w:rPr>
                <w:rFonts w:ascii="宋体" w:hAnsi="宋体" w:eastAsia="宋体" w:cs="宋体"/>
                <w:color w:val="000000"/>
                <w:kern w:val="0"/>
                <w:sz w:val="24"/>
              </w:rPr>
            </w:pPr>
            <w:r>
              <w:rPr>
                <w:rFonts w:hint="eastAsia" w:ascii="宋体" w:hAnsi="宋体" w:cs="宋体"/>
                <w:color w:val="000000"/>
                <w:kern w:val="0"/>
                <w:sz w:val="24"/>
              </w:rPr>
              <w:t>839723（昌乐县畜牧业发展中心）</w:t>
            </w:r>
          </w:p>
        </w:tc>
      </w:tr>
    </w:tbl>
    <w:p>
      <w:pPr>
        <w:pStyle w:val="4"/>
        <w:spacing w:before="240" w:beforeAutospacing="0" w:after="240" w:afterAutospacing="0"/>
        <w:ind w:left="-199" w:leftChars="-95" w:firstLine="618"/>
        <w:jc w:val="both"/>
        <w:rPr>
          <w:rFonts w:ascii="黑体" w:hAnsi="黑体" w:eastAsia="黑体" w:cs="黑体"/>
          <w:color w:val="333333"/>
          <w:sz w:val="32"/>
          <w:szCs w:val="32"/>
        </w:rPr>
      </w:pPr>
      <w:r>
        <w:rPr>
          <w:rFonts w:hint="eastAsia" w:ascii="黑体" w:hAnsi="黑体" w:eastAsia="黑体" w:cs="黑体"/>
          <w:b/>
          <w:color w:val="333333"/>
          <w:sz w:val="32"/>
          <w:szCs w:val="32"/>
          <w:shd w:val="clear" w:color="auto" w:fill="FFFFFF"/>
        </w:rPr>
        <w:t>三、收到和处理政府信息公开申请情况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（本列数据的勾稽关系为：第一项加第二项之和，</w:t>
            </w:r>
          </w:p>
          <w:p>
            <w:pPr>
              <w:widowControl/>
              <w:jc w:val="center"/>
            </w:pPr>
            <w:r>
              <w:rPr>
                <w:rFonts w:hint="eastAsia" w:ascii="宋体" w:hAnsi="宋体" w:eastAsia="宋体" w:cs="宋体"/>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line="320" w:lineRule="exact"/>
              <w:jc w:val="center"/>
            </w:pPr>
            <w:r>
              <w:rPr>
                <w:rFonts w:hint="eastAsia" w:ascii="宋体" w:hAnsi="宋体" w:eastAsia="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jc w:val="center"/>
              <w:rPr>
                <w:rFonts w:ascii="宋体"/>
                <w:sz w:val="24"/>
              </w:rPr>
            </w:pPr>
          </w:p>
        </w:tc>
        <w:tc>
          <w:tcPr>
            <w:tcW w:w="850" w:type="dxa"/>
            <w:vMerge w:val="restart"/>
            <w:tcBorders>
              <w:top w:val="nil"/>
              <w:left w:val="nil"/>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eastAsia="宋体" w:cs="宋体"/>
                <w:kern w:val="0"/>
                <w:sz w:val="20"/>
                <w:szCs w:val="20"/>
              </w:rPr>
              <w:t>自然人</w:t>
            </w:r>
          </w:p>
        </w:tc>
        <w:tc>
          <w:tcPr>
            <w:tcW w:w="2808" w:type="dxa"/>
            <w:gridSpan w:val="5"/>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line="320" w:lineRule="exact"/>
              <w:jc w:val="center"/>
            </w:pPr>
            <w:r>
              <w:rPr>
                <w:rFonts w:hint="eastAsia" w:ascii="宋体" w:hAnsi="宋体" w:eastAsia="宋体" w:cs="宋体"/>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eastAsia="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jc w:val="center"/>
              <w:rPr>
                <w:rFonts w:ascii="宋体"/>
                <w:sz w:val="24"/>
              </w:rPr>
            </w:pPr>
          </w:p>
        </w:tc>
        <w:tc>
          <w:tcPr>
            <w:tcW w:w="850" w:type="dxa"/>
            <w:vMerge w:val="continue"/>
            <w:tcBorders>
              <w:top w:val="nil"/>
              <w:left w:val="nil"/>
              <w:bottom w:val="single" w:color="auto" w:sz="8" w:space="0"/>
              <w:right w:val="single" w:color="auto" w:sz="8" w:space="0"/>
            </w:tcBorders>
            <w:noWrap/>
            <w:tcMar>
              <w:left w:w="108" w:type="dxa"/>
              <w:right w:w="108" w:type="dxa"/>
            </w:tcMar>
            <w:vAlign w:val="center"/>
          </w:tcPr>
          <w:p>
            <w:pPr>
              <w:jc w:val="center"/>
              <w:rPr>
                <w:rFonts w:ascii="宋体"/>
                <w:sz w:val="24"/>
              </w:rPr>
            </w:pP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line="320" w:lineRule="exact"/>
              <w:ind w:left="-106" w:leftChars="-51" w:right="-107" w:rightChars="-51" w:hanging="1"/>
              <w:jc w:val="center"/>
            </w:pPr>
            <w:r>
              <w:rPr>
                <w:rFonts w:hint="eastAsia" w:ascii="宋体" w:hAnsi="宋体" w:eastAsia="宋体" w:cs="宋体"/>
                <w:kern w:val="0"/>
                <w:sz w:val="20"/>
                <w:szCs w:val="20"/>
              </w:rPr>
              <w:t>商业企业</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line="320" w:lineRule="exact"/>
              <w:ind w:left="-107" w:leftChars="-51" w:right="-107" w:rightChars="-51"/>
              <w:jc w:val="center"/>
            </w:pPr>
            <w:r>
              <w:rPr>
                <w:rFonts w:hint="eastAsia" w:ascii="宋体" w:hAnsi="宋体" w:eastAsia="宋体" w:cs="宋体"/>
                <w:kern w:val="0"/>
                <w:sz w:val="20"/>
                <w:szCs w:val="20"/>
              </w:rPr>
              <w:t>科研机构</w:t>
            </w:r>
          </w:p>
        </w:tc>
        <w:tc>
          <w:tcPr>
            <w:tcW w:w="567"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line="320" w:lineRule="exact"/>
              <w:ind w:left="-107" w:leftChars="-51" w:right="-107" w:rightChars="-51"/>
              <w:jc w:val="center"/>
            </w:pPr>
            <w:r>
              <w:rPr>
                <w:rFonts w:hint="eastAsia" w:ascii="宋体" w:hAnsi="宋体" w:eastAsia="宋体" w:cs="宋体"/>
                <w:kern w:val="0"/>
                <w:sz w:val="20"/>
                <w:szCs w:val="20"/>
              </w:rPr>
              <w:t>社会公益组织</w:t>
            </w:r>
          </w:p>
        </w:tc>
        <w:tc>
          <w:tcPr>
            <w:tcW w:w="567"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line="320" w:lineRule="exact"/>
              <w:ind w:left="-106" w:leftChars="-51" w:right="-107" w:rightChars="-51" w:hanging="1"/>
              <w:jc w:val="center"/>
            </w:pPr>
            <w:r>
              <w:rPr>
                <w:rFonts w:hint="eastAsia" w:ascii="宋体" w:hAnsi="宋体" w:eastAsia="宋体" w:cs="宋体"/>
                <w:kern w:val="0"/>
                <w:sz w:val="20"/>
                <w:szCs w:val="20"/>
              </w:rPr>
              <w:t>法律服务机构</w:t>
            </w:r>
          </w:p>
        </w:tc>
        <w:tc>
          <w:tcPr>
            <w:tcW w:w="54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line="360" w:lineRule="exact"/>
              <w:ind w:left="-63" w:leftChars="-30" w:right="-134" w:rightChars="-64"/>
              <w:jc w:val="center"/>
            </w:pPr>
            <w:r>
              <w:rPr>
                <w:rFonts w:hint="eastAsia" w:ascii="宋体" w:hAnsi="宋体" w:eastAsia="宋体" w:cs="宋体"/>
                <w:kern w:val="0"/>
                <w:sz w:val="20"/>
                <w:szCs w:val="20"/>
              </w:rPr>
              <w:t>其他</w:t>
            </w:r>
          </w:p>
        </w:tc>
        <w:tc>
          <w:tcPr>
            <w:tcW w:w="635" w:type="dxa"/>
            <w:vMerge w:val="continue"/>
            <w:tcBorders>
              <w:top w:val="single" w:color="auto" w:sz="8" w:space="0"/>
              <w:left w:val="nil"/>
              <w:bottom w:val="single" w:color="auto" w:sz="8" w:space="0"/>
              <w:right w:val="single" w:color="auto" w:sz="8" w:space="0"/>
            </w:tcBorders>
            <w:noWrap/>
            <w:tcMar>
              <w:left w:w="108" w:type="dxa"/>
              <w:right w:w="108" w:type="dxa"/>
            </w:tcMar>
            <w:vAlign w:val="center"/>
          </w:tcPr>
          <w:p>
            <w:pPr>
              <w:jc w:val="cente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eastAsia="宋体" w:cs="宋体"/>
                <w:kern w:val="0"/>
                <w:sz w:val="20"/>
                <w:szCs w:val="20"/>
              </w:rPr>
              <w:t>一、本年新收政府信息公开申请数量</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eastAsia="宋体" w:cs="宋体"/>
                <w:kern w:val="0"/>
                <w:sz w:val="20"/>
                <w:szCs w:val="20"/>
              </w:rPr>
              <w:t>二、上年结转政府信息公开申请数量</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pPr>
            <w:r>
              <w:rPr>
                <w:rFonts w:hint="eastAsia" w:ascii="宋体" w:hAnsi="宋体" w:eastAsia="宋体" w:cs="宋体"/>
                <w:kern w:val="0"/>
                <w:sz w:val="20"/>
                <w:szCs w:val="20"/>
              </w:rPr>
              <w:t>三、本年度办理结果</w:t>
            </w:r>
          </w:p>
        </w:tc>
        <w:tc>
          <w:tcPr>
            <w:tcW w:w="4253" w:type="dxa"/>
            <w:gridSpan w:val="2"/>
            <w:tcBorders>
              <w:top w:val="nil"/>
              <w:left w:val="nil"/>
              <w:bottom w:val="single" w:color="auto" w:sz="8" w:space="0"/>
              <w:right w:val="single" w:color="auto" w:sz="8" w:space="0"/>
            </w:tcBorders>
            <w:noWrap/>
            <w:tcMar>
              <w:left w:w="108" w:type="dxa"/>
              <w:right w:w="108" w:type="dxa"/>
            </w:tcMar>
            <w:vAlign w:val="center"/>
          </w:tcPr>
          <w:p>
            <w:pPr>
              <w:widowControl/>
            </w:pPr>
            <w:r>
              <w:rPr>
                <w:rFonts w:ascii="楷体" w:hAnsi="楷体" w:eastAsia="楷体" w:cs="楷体"/>
                <w:kern w:val="0"/>
                <w:sz w:val="20"/>
                <w:szCs w:val="20"/>
              </w:rPr>
              <w:t>（一）予以公开</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4253" w:type="dxa"/>
            <w:gridSpan w:val="2"/>
            <w:tcBorders>
              <w:top w:val="nil"/>
              <w:left w:val="nil"/>
              <w:bottom w:val="single" w:color="auto" w:sz="8" w:space="0"/>
              <w:right w:val="single" w:color="auto" w:sz="8" w:space="0"/>
            </w:tcBorders>
            <w:noWrap/>
            <w:tcMar>
              <w:left w:w="108" w:type="dxa"/>
              <w:right w:w="108" w:type="dxa"/>
            </w:tcMar>
            <w:vAlign w:val="center"/>
          </w:tcPr>
          <w:p>
            <w:pPr>
              <w:widowControl/>
            </w:pPr>
            <w:r>
              <w:rPr>
                <w:rFonts w:hint="eastAsia" w:ascii="楷体" w:hAnsi="楷体" w:eastAsia="楷体" w:cs="楷体"/>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restart"/>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ind w:left="-107" w:leftChars="-51"/>
            </w:pPr>
            <w:r>
              <w:rPr>
                <w:rFonts w:hint="eastAsia" w:ascii="楷体" w:hAnsi="楷体" w:eastAsia="楷体" w:cs="楷体"/>
                <w:kern w:val="0"/>
                <w:sz w:val="20"/>
                <w:szCs w:val="20"/>
              </w:rPr>
              <w:t>（三）不予公开</w:t>
            </w: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1.属于国家秘密</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2.其他法律行政法规禁止公开</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3.危及“三安全一稳定”</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4.保护第三方合法权益</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5.属于三类内部事务信息</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6.属于四类过程性信息</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7.属于行政执法案卷</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8.属于行政查询事项</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restart"/>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ind w:left="-107" w:leftChars="-51"/>
            </w:pPr>
            <w:r>
              <w:rPr>
                <w:rFonts w:hint="eastAsia" w:ascii="楷体" w:hAnsi="楷体" w:eastAsia="楷体" w:cs="楷体"/>
                <w:kern w:val="0"/>
                <w:sz w:val="20"/>
                <w:szCs w:val="20"/>
              </w:rPr>
              <w:t>（四）无法提供</w:t>
            </w: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1.本机关不掌握相关政府信息</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ind w:left="-107" w:leftChars="-51"/>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2.没有现成信息需要另行制作</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ind w:left="-107" w:leftChars="-51"/>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3.补正后申请内容仍不明确</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restart"/>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ind w:left="-107" w:leftChars="-51"/>
            </w:pPr>
            <w:r>
              <w:rPr>
                <w:rFonts w:hint="eastAsia" w:ascii="楷体" w:hAnsi="楷体" w:eastAsia="楷体" w:cs="楷体"/>
                <w:kern w:val="0"/>
                <w:sz w:val="20"/>
                <w:szCs w:val="20"/>
              </w:rPr>
              <w:t>（五）不予处理</w:t>
            </w: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1.信访举报投诉类申请</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2.重复申请</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pPr>
            <w:r>
              <w:rPr>
                <w:rFonts w:hint="eastAsia" w:ascii="楷体" w:hAnsi="楷体" w:eastAsia="楷体" w:cs="楷体"/>
                <w:kern w:val="0"/>
                <w:sz w:val="20"/>
                <w:szCs w:val="20"/>
              </w:rPr>
              <w:t>3.要求提供公开出版物</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pPr>
            <w:r>
              <w:rPr>
                <w:rFonts w:hint="eastAsia" w:ascii="楷体" w:hAnsi="楷体" w:eastAsia="楷体" w:cs="楷体"/>
                <w:kern w:val="0"/>
                <w:sz w:val="20"/>
                <w:szCs w:val="20"/>
              </w:rPr>
              <w:t>4.无正当理由大量反复申请</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1418" w:type="dxa"/>
            <w:vMerge w:val="continue"/>
            <w:tcBorders>
              <w:top w:val="nil"/>
              <w:left w:val="nil"/>
              <w:bottom w:val="single" w:color="auto" w:sz="8" w:space="0"/>
              <w:right w:val="single" w:color="auto" w:sz="8" w:space="0"/>
            </w:tcBorders>
            <w:noWrap/>
            <w:tcMar>
              <w:left w:w="108" w:type="dxa"/>
              <w:right w:w="108" w:type="dxa"/>
            </w:tcMar>
            <w:vAlign w:val="center"/>
          </w:tcPr>
          <w:p>
            <w:pPr>
              <w:spacing w:line="200" w:lineRule="exact"/>
              <w:rPr>
                <w:rFonts w:ascii="宋体"/>
                <w:sz w:val="24"/>
              </w:rPr>
            </w:pPr>
          </w:p>
        </w:tc>
        <w:tc>
          <w:tcPr>
            <w:tcW w:w="2835" w:type="dxa"/>
            <w:tcBorders>
              <w:top w:val="nil"/>
              <w:left w:val="nil"/>
              <w:bottom w:val="single" w:color="auto" w:sz="8" w:space="0"/>
              <w:right w:val="single" w:color="auto" w:sz="8" w:space="0"/>
            </w:tcBorders>
            <w:noWrap/>
            <w:tcMar>
              <w:left w:w="108" w:type="dxa"/>
              <w:right w:w="108" w:type="dxa"/>
            </w:tcMar>
            <w:vAlign w:val="center"/>
          </w:tcPr>
          <w:p>
            <w:pPr>
              <w:widowControl/>
              <w:spacing w:line="300" w:lineRule="exact"/>
              <w:rPr>
                <w:rFonts w:ascii="楷体" w:hAnsi="楷体" w:eastAsia="楷体" w:cs="楷体"/>
                <w:kern w:val="0"/>
                <w:sz w:val="20"/>
                <w:szCs w:val="20"/>
              </w:rPr>
            </w:pPr>
            <w:r>
              <w:rPr>
                <w:rFonts w:hint="eastAsia" w:ascii="楷体" w:hAnsi="楷体" w:eastAsia="楷体" w:cs="楷体"/>
                <w:kern w:val="0"/>
                <w:sz w:val="20"/>
                <w:szCs w:val="20"/>
              </w:rPr>
              <w:t>5.要求行政机关确认或重新</w:t>
            </w:r>
          </w:p>
          <w:p>
            <w:pPr>
              <w:widowControl/>
              <w:spacing w:line="300" w:lineRule="exact"/>
              <w:ind w:firstLine="200" w:firstLineChars="100"/>
            </w:pPr>
            <w:r>
              <w:rPr>
                <w:rFonts w:hint="eastAsia" w:ascii="楷体" w:hAnsi="楷体" w:eastAsia="楷体" w:cs="楷体"/>
                <w:kern w:val="0"/>
                <w:sz w:val="20"/>
                <w:szCs w:val="20"/>
              </w:rPr>
              <w:t>出具已获取信息</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4253"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pPr>
            <w:r>
              <w:rPr>
                <w:rFonts w:hint="eastAsia" w:ascii="楷体" w:hAnsi="楷体" w:eastAsia="楷体" w:cs="楷体"/>
                <w:kern w:val="0"/>
                <w:sz w:val="20"/>
                <w:szCs w:val="20"/>
              </w:rPr>
              <w:t>（六）其他处理</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line="200" w:lineRule="exact"/>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4253" w:type="dxa"/>
            <w:gridSpan w:val="2"/>
            <w:tcBorders>
              <w:top w:val="nil"/>
              <w:left w:val="nil"/>
              <w:bottom w:val="single" w:color="auto" w:sz="8" w:space="0"/>
              <w:right w:val="single" w:color="auto" w:sz="8" w:space="0"/>
            </w:tcBorders>
            <w:noWrap/>
            <w:tcMar>
              <w:left w:w="108" w:type="dxa"/>
              <w:right w:w="108" w:type="dxa"/>
            </w:tcMar>
            <w:vAlign w:val="center"/>
          </w:tcPr>
          <w:p>
            <w:pPr>
              <w:widowControl/>
              <w:spacing w:line="200" w:lineRule="exact"/>
            </w:pPr>
            <w:r>
              <w:rPr>
                <w:rFonts w:hint="eastAsia" w:ascii="楷体" w:hAnsi="楷体" w:eastAsia="楷体" w:cs="楷体"/>
                <w:kern w:val="0"/>
                <w:sz w:val="20"/>
                <w:szCs w:val="20"/>
              </w:rPr>
              <w:t>（七）总计</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rPr>
                <w:rFonts w:eastAsia="宋体"/>
              </w:rP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tcMar>
              <w:left w:w="108" w:type="dxa"/>
              <w:right w:w="108" w:type="dxa"/>
            </w:tcMar>
            <w:vAlign w:val="center"/>
          </w:tcPr>
          <w:p>
            <w:pPr>
              <w:widowControl/>
            </w:pPr>
            <w:r>
              <w:rPr>
                <w:rFonts w:hint="eastAsia" w:ascii="宋体" w:hAnsi="宋体" w:eastAsia="宋体" w:cs="宋体"/>
                <w:kern w:val="0"/>
                <w:sz w:val="20"/>
                <w:szCs w:val="20"/>
              </w:rPr>
              <w:t>四、结转下年度继续办理</w:t>
            </w:r>
          </w:p>
        </w:tc>
        <w:tc>
          <w:tcPr>
            <w:tcW w:w="85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67"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54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3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bl>
    <w:p>
      <w:pPr>
        <w:pStyle w:val="4"/>
        <w:tabs>
          <w:tab w:val="left" w:pos="204"/>
        </w:tabs>
        <w:spacing w:beforeAutospacing="0" w:afterAutospacing="0"/>
        <w:ind w:firstLine="420"/>
        <w:jc w:val="both"/>
        <w:rPr>
          <w:color w:val="333333"/>
        </w:rPr>
      </w:pPr>
      <w:r>
        <w:rPr>
          <w:rFonts w:hint="eastAsia"/>
          <w:color w:val="333333"/>
        </w:rPr>
        <w:tab/>
      </w:r>
    </w:p>
    <w:p>
      <w:pPr>
        <w:pStyle w:val="4"/>
        <w:tabs>
          <w:tab w:val="left" w:pos="204"/>
        </w:tabs>
        <w:spacing w:beforeAutospacing="0" w:afterAutospacing="0"/>
        <w:ind w:firstLine="420"/>
        <w:jc w:val="both"/>
        <w:rPr>
          <w:rFonts w:ascii="黑体" w:hAnsi="黑体" w:eastAsia="黑体"/>
          <w:b/>
          <w:bCs/>
          <w:sz w:val="32"/>
          <w:szCs w:val="32"/>
        </w:rPr>
      </w:pPr>
      <w:r>
        <w:rPr>
          <w:rFonts w:hint="eastAsia" w:ascii="黑体" w:hAnsi="黑体" w:eastAsia="黑体"/>
          <w:b/>
          <w:bCs/>
          <w:sz w:val="32"/>
          <w:szCs w:val="32"/>
          <w:shd w:val="clear" w:color="auto" w:fill="FFFFFF"/>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eastAsia="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tcMar>
              <w:left w:w="108" w:type="dxa"/>
              <w:right w:w="108" w:type="dxa"/>
            </w:tcMar>
            <w:vAlign w:val="center"/>
          </w:tcPr>
          <w:p>
            <w:pPr>
              <w:widowControl/>
              <w:ind w:left="-149" w:leftChars="-71" w:right="-170" w:rightChars="-81"/>
              <w:jc w:val="center"/>
              <w:rPr>
                <w:rFonts w:ascii="宋体" w:hAnsi="宋体" w:eastAsia="宋体" w:cs="宋体"/>
                <w:kern w:val="0"/>
                <w:sz w:val="20"/>
                <w:szCs w:val="20"/>
              </w:rPr>
            </w:pPr>
            <w:r>
              <w:rPr>
                <w:rFonts w:hint="eastAsia" w:ascii="宋体" w:hAnsi="宋体" w:eastAsia="宋体" w:cs="宋体"/>
                <w:kern w:val="0"/>
                <w:sz w:val="20"/>
                <w:szCs w:val="20"/>
              </w:rPr>
              <w:t>结果</w:t>
            </w:r>
          </w:p>
          <w:p>
            <w:pPr>
              <w:widowControl/>
              <w:ind w:left="-149" w:leftChars="-71" w:right="-170" w:rightChars="-81"/>
              <w:jc w:val="center"/>
            </w:pPr>
            <w:r>
              <w:rPr>
                <w:rFonts w:hint="eastAsia" w:ascii="宋体" w:hAnsi="宋体" w:eastAsia="宋体" w:cs="宋体"/>
                <w:kern w:val="0"/>
                <w:sz w:val="20"/>
                <w:szCs w:val="20"/>
              </w:rPr>
              <w:t>维持</w:t>
            </w:r>
          </w:p>
        </w:tc>
        <w:tc>
          <w:tcPr>
            <w:tcW w:w="604" w:type="dxa"/>
            <w:vMerge w:val="restart"/>
            <w:tcBorders>
              <w:top w:val="nil"/>
              <w:left w:val="nil"/>
              <w:bottom w:val="single" w:color="auto" w:sz="8" w:space="0"/>
              <w:right w:val="single" w:color="auto" w:sz="8" w:space="0"/>
            </w:tcBorders>
            <w:noWrap/>
            <w:tcMar>
              <w:left w:w="108" w:type="dxa"/>
              <w:right w:w="108" w:type="dxa"/>
            </w:tcMar>
            <w:vAlign w:val="center"/>
          </w:tcPr>
          <w:p>
            <w:pPr>
              <w:widowControl/>
              <w:ind w:left="-43" w:leftChars="-21" w:right="-132" w:rightChars="-63" w:hanging="1"/>
              <w:jc w:val="cente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tcMar>
              <w:left w:w="108" w:type="dxa"/>
              <w:right w:w="108" w:type="dxa"/>
            </w:tcMar>
            <w:vAlign w:val="center"/>
          </w:tcPr>
          <w:p>
            <w:pPr>
              <w:widowControl/>
              <w:ind w:left="-82" w:leftChars="-39" w:right="-97" w:rightChars="-46"/>
              <w:jc w:val="cente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tcMar>
              <w:left w:w="108" w:type="dxa"/>
              <w:right w:w="108" w:type="dxa"/>
            </w:tcMar>
            <w:vAlign w:val="center"/>
          </w:tcPr>
          <w:p>
            <w:pPr>
              <w:widowControl/>
              <w:ind w:left="-118" w:leftChars="-56" w:right="-118" w:rightChars="-56"/>
              <w:jc w:val="center"/>
              <w:rPr>
                <w:rFonts w:ascii="宋体" w:hAnsi="宋体" w:eastAsia="宋体" w:cs="宋体"/>
                <w:kern w:val="0"/>
                <w:sz w:val="20"/>
                <w:szCs w:val="20"/>
              </w:rPr>
            </w:pPr>
            <w:r>
              <w:rPr>
                <w:rFonts w:hint="eastAsia" w:ascii="宋体" w:hAnsi="宋体" w:eastAsia="宋体" w:cs="宋体"/>
                <w:kern w:val="0"/>
                <w:sz w:val="20"/>
                <w:szCs w:val="20"/>
              </w:rPr>
              <w:t>尚未</w:t>
            </w:r>
          </w:p>
          <w:p>
            <w:pPr>
              <w:widowControl/>
              <w:ind w:left="-118" w:leftChars="-56" w:right="-118" w:rightChars="-56"/>
              <w:jc w:val="center"/>
            </w:pPr>
            <w:r>
              <w:rPr>
                <w:rFonts w:hint="eastAsia" w:ascii="宋体" w:hAnsi="宋体" w:eastAsia="宋体" w:cs="宋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tcMar>
              <w:left w:w="108" w:type="dxa"/>
              <w:right w:w="108" w:type="dxa"/>
            </w:tcMar>
            <w:vAlign w:val="center"/>
          </w:tcPr>
          <w:p>
            <w:pPr>
              <w:widowControl/>
              <w:spacing w:line="320" w:lineRule="exact"/>
              <w:jc w:val="center"/>
              <w:rPr>
                <w:rFonts w:ascii="宋体" w:hAnsi="宋体" w:eastAsia="宋体" w:cs="宋体"/>
                <w:kern w:val="0"/>
                <w:sz w:val="20"/>
                <w:szCs w:val="20"/>
              </w:rPr>
            </w:pPr>
            <w:r>
              <w:rPr>
                <w:rFonts w:hint="eastAsia" w:ascii="宋体" w:hAnsi="宋体" w:eastAsia="宋体" w:cs="宋体"/>
                <w:kern w:val="0"/>
                <w:sz w:val="20"/>
                <w:szCs w:val="20"/>
              </w:rPr>
              <w:t>总</w:t>
            </w:r>
          </w:p>
          <w:p>
            <w:pPr>
              <w:widowControl/>
              <w:spacing w:line="320" w:lineRule="exact"/>
              <w:jc w:val="center"/>
            </w:pPr>
            <w:r>
              <w:rPr>
                <w:rFonts w:hint="eastAsia" w:ascii="宋体" w:hAnsi="宋体" w:eastAsia="宋体" w:cs="宋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eastAsia="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tcMar>
              <w:left w:w="108" w:type="dxa"/>
              <w:right w:w="108" w:type="dxa"/>
            </w:tcMar>
            <w:vAlign w:val="center"/>
          </w:tcPr>
          <w:p>
            <w:pPr>
              <w:rPr>
                <w:rFonts w:ascii="宋体"/>
                <w:sz w:val="24"/>
              </w:rPr>
            </w:pPr>
          </w:p>
        </w:tc>
        <w:tc>
          <w:tcPr>
            <w:tcW w:w="604" w:type="dxa"/>
            <w:vMerge w:val="continue"/>
            <w:tcBorders>
              <w:top w:val="nil"/>
              <w:left w:val="nil"/>
              <w:bottom w:val="single" w:color="auto" w:sz="8" w:space="0"/>
              <w:right w:val="single" w:color="auto" w:sz="8" w:space="0"/>
            </w:tcBorders>
            <w:noWrap/>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noWrap/>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noWrap/>
            <w:tcMar>
              <w:left w:w="108" w:type="dxa"/>
              <w:right w:w="108" w:type="dxa"/>
            </w:tcMar>
            <w:vAlign w:val="center"/>
          </w:tcPr>
          <w:p>
            <w:pPr>
              <w:rPr>
                <w:rFonts w:ascii="宋体"/>
                <w:sz w:val="24"/>
              </w:rPr>
            </w:pPr>
          </w:p>
        </w:tc>
        <w:tc>
          <w:tcPr>
            <w:tcW w:w="658" w:type="dxa"/>
            <w:vMerge w:val="continue"/>
            <w:tcBorders>
              <w:top w:val="single" w:color="auto" w:sz="8" w:space="0"/>
              <w:left w:val="nil"/>
              <w:bottom w:val="single" w:color="auto" w:sz="8" w:space="0"/>
              <w:right w:val="single" w:color="auto" w:sz="8" w:space="0"/>
            </w:tcBorders>
            <w:noWrap/>
            <w:tcMar>
              <w:left w:w="108" w:type="dxa"/>
              <w:right w:w="108" w:type="dxa"/>
            </w:tcMar>
            <w:vAlign w:val="center"/>
          </w:tcPr>
          <w:p>
            <w:pPr>
              <w:rPr>
                <w:rFonts w:ascii="宋体"/>
                <w:sz w:val="24"/>
              </w:rPr>
            </w:pPr>
          </w:p>
        </w:tc>
        <w:tc>
          <w:tcPr>
            <w:tcW w:w="550" w:type="dxa"/>
            <w:tcBorders>
              <w:top w:val="nil"/>
              <w:left w:val="nil"/>
              <w:bottom w:val="single" w:color="auto" w:sz="8" w:space="0"/>
              <w:right w:val="single" w:color="auto" w:sz="8" w:space="0"/>
            </w:tcBorders>
            <w:noWrap/>
            <w:tcMar>
              <w:left w:w="108" w:type="dxa"/>
              <w:right w:w="108" w:type="dxa"/>
            </w:tcMar>
            <w:vAlign w:val="center"/>
          </w:tcPr>
          <w:p>
            <w:pPr>
              <w:widowControl/>
              <w:ind w:left="-105" w:leftChars="-50" w:right="-126" w:rightChars="-60"/>
              <w:jc w:val="cente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noWrap/>
            <w:tcMar>
              <w:left w:w="108" w:type="dxa"/>
              <w:right w:w="108" w:type="dxa"/>
            </w:tcMar>
            <w:vAlign w:val="center"/>
          </w:tcPr>
          <w:p>
            <w:pPr>
              <w:widowControl/>
              <w:ind w:left="-86" w:leftChars="-41" w:right="-88" w:rightChars="-42"/>
              <w:jc w:val="cente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ind w:left="-126" w:leftChars="-60" w:right="-136" w:rightChars="-65"/>
              <w:jc w:val="center"/>
              <w:rPr>
                <w:rFonts w:ascii="宋体" w:hAnsi="宋体" w:eastAsia="宋体" w:cs="宋体"/>
                <w:kern w:val="0"/>
                <w:sz w:val="20"/>
                <w:szCs w:val="20"/>
              </w:rPr>
            </w:pPr>
            <w:r>
              <w:rPr>
                <w:rFonts w:hint="eastAsia" w:ascii="宋体" w:hAnsi="宋体" w:eastAsia="宋体" w:cs="宋体"/>
                <w:kern w:val="0"/>
                <w:sz w:val="20"/>
                <w:szCs w:val="20"/>
              </w:rPr>
              <w:t>其他</w:t>
            </w:r>
          </w:p>
          <w:p>
            <w:pPr>
              <w:widowControl/>
              <w:ind w:left="-126" w:leftChars="-60" w:right="-136" w:rightChars="-65"/>
              <w:jc w:val="center"/>
            </w:pPr>
            <w:r>
              <w:rPr>
                <w:rFonts w:hint="eastAsia" w:ascii="宋体" w:hAnsi="宋体" w:eastAsia="宋体" w:cs="宋体"/>
                <w:kern w:val="0"/>
                <w:sz w:val="20"/>
                <w:szCs w:val="20"/>
              </w:rPr>
              <w:t>结果</w:t>
            </w:r>
          </w:p>
        </w:tc>
        <w:tc>
          <w:tcPr>
            <w:tcW w:w="60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ind w:left="-164" w:leftChars="-78" w:right="-153" w:rightChars="-73"/>
              <w:jc w:val="center"/>
              <w:rPr>
                <w:rFonts w:ascii="宋体" w:hAnsi="宋体" w:eastAsia="宋体" w:cs="宋体"/>
                <w:kern w:val="0"/>
                <w:sz w:val="20"/>
                <w:szCs w:val="20"/>
              </w:rPr>
            </w:pPr>
            <w:r>
              <w:rPr>
                <w:rFonts w:hint="eastAsia" w:ascii="宋体" w:hAnsi="宋体" w:eastAsia="宋体" w:cs="宋体"/>
                <w:kern w:val="0"/>
                <w:sz w:val="20"/>
                <w:szCs w:val="20"/>
              </w:rPr>
              <w:t>尚未</w:t>
            </w:r>
          </w:p>
          <w:p>
            <w:pPr>
              <w:widowControl/>
              <w:ind w:left="-164" w:leftChars="-78" w:right="-153" w:rightChars="-73"/>
              <w:jc w:val="center"/>
            </w:pPr>
            <w:r>
              <w:rPr>
                <w:rFonts w:hint="eastAsia" w:ascii="宋体" w:hAnsi="宋体" w:eastAsia="宋体" w:cs="宋体"/>
                <w:kern w:val="0"/>
                <w:sz w:val="20"/>
                <w:szCs w:val="20"/>
              </w:rPr>
              <w:t>审结</w:t>
            </w:r>
          </w:p>
        </w:tc>
        <w:tc>
          <w:tcPr>
            <w:tcW w:w="60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ind w:left="-99" w:leftChars="-47" w:right="-78" w:rightChars="-37"/>
              <w:jc w:val="cente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ind w:left="-136" w:leftChars="-65" w:right="-124" w:rightChars="-59"/>
              <w:jc w:val="center"/>
              <w:rPr>
                <w:rFonts w:ascii="宋体" w:hAnsi="宋体" w:eastAsia="宋体" w:cs="宋体"/>
                <w:kern w:val="0"/>
                <w:sz w:val="20"/>
                <w:szCs w:val="20"/>
              </w:rPr>
            </w:pPr>
            <w:r>
              <w:rPr>
                <w:rFonts w:hint="eastAsia" w:ascii="宋体" w:hAnsi="宋体" w:eastAsia="宋体" w:cs="宋体"/>
                <w:kern w:val="0"/>
                <w:sz w:val="20"/>
                <w:szCs w:val="20"/>
              </w:rPr>
              <w:t>结果</w:t>
            </w:r>
          </w:p>
          <w:p>
            <w:pPr>
              <w:widowControl/>
              <w:ind w:left="-136" w:leftChars="-65" w:right="-124" w:rightChars="-59"/>
              <w:jc w:val="center"/>
            </w:pPr>
            <w:r>
              <w:rPr>
                <w:rFonts w:hint="eastAsia" w:ascii="宋体" w:hAnsi="宋体" w:eastAsia="宋体" w:cs="宋体"/>
                <w:kern w:val="0"/>
                <w:sz w:val="20"/>
                <w:szCs w:val="20"/>
              </w:rPr>
              <w:t>纠正</w:t>
            </w:r>
          </w:p>
        </w:tc>
        <w:tc>
          <w:tcPr>
            <w:tcW w:w="60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ind w:left="-173" w:leftChars="-83" w:right="-134" w:rightChars="-64" w:hanging="1"/>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w:t>
            </w:r>
          </w:p>
          <w:p>
            <w:pPr>
              <w:widowControl/>
              <w:ind w:left="-173" w:leftChars="-83" w:right="-134" w:rightChars="-64" w:hanging="1"/>
              <w:jc w:val="center"/>
            </w:pPr>
            <w:r>
              <w:rPr>
                <w:rFonts w:hint="eastAsia" w:ascii="宋体" w:hAnsi="宋体" w:eastAsia="宋体" w:cs="宋体"/>
                <w:color w:val="000000"/>
                <w:kern w:val="0"/>
                <w:sz w:val="20"/>
                <w:szCs w:val="20"/>
              </w:rPr>
              <w:t>结果</w:t>
            </w:r>
          </w:p>
        </w:tc>
        <w:tc>
          <w:tcPr>
            <w:tcW w:w="606"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ind w:left="-67" w:leftChars="-33" w:right="-105" w:rightChars="-50" w:hanging="2" w:hangingChars="1"/>
              <w:jc w:val="cente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 0</w:t>
            </w:r>
          </w:p>
        </w:tc>
        <w:tc>
          <w:tcPr>
            <w:tcW w:w="604"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 0</w:t>
            </w:r>
          </w:p>
        </w:tc>
        <w:tc>
          <w:tcPr>
            <w:tcW w:w="604"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0 </w:t>
            </w:r>
          </w:p>
        </w:tc>
        <w:tc>
          <w:tcPr>
            <w:tcW w:w="604"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58"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0 </w:t>
            </w:r>
          </w:p>
        </w:tc>
        <w:tc>
          <w:tcPr>
            <w:tcW w:w="550"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 0</w:t>
            </w:r>
          </w:p>
        </w:tc>
        <w:tc>
          <w:tcPr>
            <w:tcW w:w="60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 0</w:t>
            </w:r>
          </w:p>
        </w:tc>
        <w:tc>
          <w:tcPr>
            <w:tcW w:w="60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 0</w:t>
            </w:r>
          </w:p>
        </w:tc>
        <w:tc>
          <w:tcPr>
            <w:tcW w:w="60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0 </w:t>
            </w:r>
          </w:p>
        </w:tc>
        <w:tc>
          <w:tcPr>
            <w:tcW w:w="60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0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 0</w:t>
            </w:r>
          </w:p>
        </w:tc>
        <w:tc>
          <w:tcPr>
            <w:tcW w:w="60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05"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c>
          <w:tcPr>
            <w:tcW w:w="606"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0 </w:t>
            </w:r>
          </w:p>
        </w:tc>
        <w:tc>
          <w:tcPr>
            <w:tcW w:w="606" w:type="dxa"/>
            <w:tcBorders>
              <w:top w:val="nil"/>
              <w:left w:val="nil"/>
              <w:bottom w:val="single" w:color="auto" w:sz="8" w:space="0"/>
              <w:right w:val="single" w:color="auto" w:sz="8" w:space="0"/>
            </w:tcBorders>
            <w:noWrap/>
            <w:tcMar>
              <w:left w:w="108" w:type="dxa"/>
              <w:right w:w="108" w:type="dxa"/>
            </w:tcMar>
            <w:vAlign w:val="center"/>
          </w:tcPr>
          <w:p>
            <w:pPr>
              <w:widowControl/>
              <w:spacing w:after="180"/>
              <w:jc w:val="center"/>
            </w:pPr>
            <w:r>
              <w:rPr>
                <w:rFonts w:hint="eastAsia"/>
              </w:rPr>
              <w:t>0</w:t>
            </w:r>
          </w:p>
        </w:tc>
      </w:tr>
    </w:tbl>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五、存在的主要问题及改进情况</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（一）2019年问题整改情况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按照政府信息公开工作的要求，加强与相关部门联系，努力做到政府信息公开的内容不断充实和完善；二是利用集体学习、全体干部职工会等方式，加强对全体干部职工信息公开培训，营造良好的信息公开氛围和环境。</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（二）2020年存在的主要问题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一是政务信息公开工作的重视程度需进一步提高,对工作的组织领导需进一步加强；二是政务信息公开的时效性有待进一步提高。</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（三）改进措施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2021年，我中心将认真学习上级相关文件精神，紧紧围绕县委、县政府的具体要求和中心工作，积极规范并不断加强政务公开工作,不断提升政务服务水平。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一是加强组织领导，制定《2021年度政府信息公开工作实施方案》，落实责任，建立机制，提高畜牧系统政府信息公开工作水平。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二是加强业务培训，总结交流经验，提高政府信息公开工作人员的业务素质。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三是加强督导考核，建立政府信息公开工作例会制度，及时通报工作情况，切实解决存在问题，促进政府信息公开工作顺利开展。</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六、其他需要报告的事项</w:t>
      </w:r>
    </w:p>
    <w:p>
      <w:pPr>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600" w:lineRule="exact"/>
        <w:ind w:firstLine="640" w:firstLineChars="200"/>
        <w:rPr>
          <w:rFonts w:ascii="仿宋_GB2312" w:hAnsi="仿宋_GB2312" w:eastAsia="仿宋_GB2312" w:cs="仿宋_GB2312"/>
          <w:sz w:val="32"/>
          <w:szCs w:val="32"/>
        </w:rPr>
      </w:pPr>
    </w:p>
    <w:p>
      <w:pPr>
        <w:wordWrap w:val="0"/>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昌乐县畜牧业发展中心</w:t>
      </w:r>
    </w:p>
    <w:p>
      <w:pPr>
        <w:wordWrap w:val="0"/>
        <w:spacing w:line="6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2021年1月20日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标宋">
    <w:altName w:val="微软雅黑"/>
    <w:panose1 w:val="02010604000101010101"/>
    <w:charset w:val="86"/>
    <w:family w:val="moder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7456"/>
    <w:rsid w:val="001F1F4B"/>
    <w:rsid w:val="00311530"/>
    <w:rsid w:val="0038045F"/>
    <w:rsid w:val="00390A35"/>
    <w:rsid w:val="00472EA2"/>
    <w:rsid w:val="00546CA7"/>
    <w:rsid w:val="00653613"/>
    <w:rsid w:val="00657292"/>
    <w:rsid w:val="00685086"/>
    <w:rsid w:val="00776E99"/>
    <w:rsid w:val="00890042"/>
    <w:rsid w:val="009118CE"/>
    <w:rsid w:val="00AC2987"/>
    <w:rsid w:val="00AD2EAA"/>
    <w:rsid w:val="00BE7456"/>
    <w:rsid w:val="00C124FF"/>
    <w:rsid w:val="00E227BD"/>
    <w:rsid w:val="00FC536B"/>
    <w:rsid w:val="0ED026F4"/>
    <w:rsid w:val="230A78FA"/>
    <w:rsid w:val="4DE67977"/>
    <w:rsid w:val="773460A4"/>
    <w:rsid w:val="7FE65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Hyperlink"/>
    <w:basedOn w:val="6"/>
    <w:semiHidden/>
    <w:unhideWhenUsed/>
    <w:qFormat/>
    <w:uiPriority w:val="99"/>
    <w:rPr>
      <w:color w:val="0000FF"/>
      <w:u w:val="single"/>
    </w:rPr>
  </w:style>
  <w:style w:type="paragraph" w:customStyle="1" w:styleId="8">
    <w:name w:val="p1"/>
    <w:basedOn w:val="1"/>
    <w:qFormat/>
    <w:uiPriority w:val="0"/>
    <w:pPr>
      <w:widowControl/>
      <w:jc w:val="left"/>
    </w:pPr>
    <w:rPr>
      <w:rFonts w:ascii="宋体" w:hAnsi="宋体" w:eastAsia="宋体" w:cs="宋体"/>
      <w:kern w:val="0"/>
      <w:sz w:val="24"/>
      <w:szCs w:val="24"/>
    </w:rPr>
  </w:style>
  <w:style w:type="character" w:customStyle="1" w:styleId="9">
    <w:name w:val="页眉 Char"/>
    <w:basedOn w:val="6"/>
    <w:link w:val="3"/>
    <w:semiHidden/>
    <w:qFormat/>
    <w:uiPriority w:val="99"/>
    <w:rPr>
      <w:rFonts w:asciiTheme="minorHAnsi" w:hAnsiTheme="minorHAnsi" w:eastAsiaTheme="minorEastAsia" w:cstheme="minorBidi"/>
      <w:kern w:val="2"/>
      <w:sz w:val="18"/>
      <w:szCs w:val="18"/>
    </w:rPr>
  </w:style>
  <w:style w:type="character" w:customStyle="1" w:styleId="10">
    <w:name w:val="页脚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734D2-636C-49CC-B9F3-31739BB83D30}">
  <ds:schemaRefs/>
</ds:datastoreItem>
</file>

<file path=docProps/app.xml><?xml version="1.0" encoding="utf-8"?>
<Properties xmlns="http://schemas.openxmlformats.org/officeDocument/2006/extended-properties" xmlns:vt="http://schemas.openxmlformats.org/officeDocument/2006/docPropsVTypes">
  <Template>Normal</Template>
  <Pages>7</Pages>
  <Words>2568</Words>
  <Characters>2646</Characters>
  <Lines>446</Lines>
  <Paragraphs>324</Paragraphs>
  <TotalTime>134</TotalTime>
  <ScaleCrop>false</ScaleCrop>
  <LinksUpToDate>false</LinksUpToDate>
  <CharactersWithSpaces>2690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2020-06-29T02:27:00Z</dcterms:created>
  <dc:creator>Administrator</dc:creator>
  <cp:lastModifiedBy>Administrator</cp:lastModifiedBy>
  <cp:lastPrinted>2020-06-29T02:28:00Z</cp:lastPrinted>
  <dcterms:modified xsi:type="dcterms:W3CDTF">2021-02-05T05:58:35Z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