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8" w:lineRule="exact"/>
        <w:ind w:firstLine="880" w:firstLineChars="200"/>
        <w:textAlignment w:val="auto"/>
        <w:outlineLvl w:val="9"/>
        <w:rPr>
          <w:rFonts w:hint="eastAsia" w:ascii="文星标宋" w:hAnsi="文星标宋" w:eastAsia="文星标宋" w:cs="文星标宋"/>
          <w:b w:val="0"/>
          <w:bCs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eastAsia" w:ascii="文星标宋" w:hAnsi="文星标宋" w:eastAsia="文星标宋" w:cs="文星标宋"/>
          <w:b w:val="0"/>
          <w:bCs w:val="0"/>
          <w:color w:val="auto"/>
          <w:kern w:val="0"/>
          <w:sz w:val="44"/>
          <w:szCs w:val="44"/>
          <w:lang w:val="en-US" w:eastAsia="zh-CN"/>
        </w:rPr>
      </w:pPr>
      <w:r>
        <w:rPr>
          <w:rFonts w:hint="eastAsia" w:ascii="文星标宋" w:hAnsi="文星标宋" w:eastAsia="文星标宋" w:cs="文星标宋"/>
          <w:b w:val="0"/>
          <w:bCs w:val="0"/>
          <w:color w:val="auto"/>
          <w:kern w:val="0"/>
          <w:sz w:val="44"/>
          <w:szCs w:val="44"/>
          <w:lang w:val="en-US" w:eastAsia="zh-CN"/>
        </w:rPr>
        <w:t>昌乐县行政审批服务局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ascii="仿宋" w:hAnsi="仿宋" w:eastAsia="仿宋" w:cs="仿宋"/>
          <w:b w:val="0"/>
          <w:bCs w:val="0"/>
          <w:color w:val="auto"/>
          <w:kern w:val="0"/>
          <w:sz w:val="44"/>
          <w:szCs w:val="44"/>
        </w:rPr>
      </w:pPr>
      <w:r>
        <w:rPr>
          <w:rFonts w:hint="eastAsia" w:ascii="文星标宋" w:hAnsi="文星标宋" w:eastAsia="文星标宋" w:cs="文星标宋"/>
          <w:b w:val="0"/>
          <w:bCs w:val="0"/>
          <w:color w:val="auto"/>
          <w:kern w:val="0"/>
          <w:sz w:val="44"/>
          <w:szCs w:val="44"/>
          <w:lang w:val="en-US" w:eastAsia="zh-CN"/>
        </w:rPr>
        <w:t>2021</w:t>
      </w:r>
      <w:r>
        <w:rPr>
          <w:rFonts w:hint="eastAsia" w:ascii="文星标宋" w:hAnsi="文星标宋" w:eastAsia="文星标宋" w:cs="文星标宋"/>
          <w:b w:val="0"/>
          <w:bCs w:val="0"/>
          <w:color w:val="auto"/>
          <w:kern w:val="0"/>
          <w:sz w:val="44"/>
          <w:szCs w:val="44"/>
        </w:rPr>
        <w:t>年政府信息公开工作年度报告</w:t>
      </w:r>
    </w:p>
    <w:p>
      <w:pPr>
        <w:pStyle w:val="4"/>
        <w:keepNext w:val="0"/>
        <w:keepLines w:val="0"/>
        <w:pageBreakBefore w:val="0"/>
        <w:widowControl/>
        <w:shd w:val="clear" w:color="auto"/>
        <w:kinsoku/>
        <w:overflowPunct/>
        <w:topLinePunct w:val="0"/>
        <w:autoSpaceDE/>
        <w:autoSpaceDN/>
        <w:bidi w:val="0"/>
        <w:adjustRightInd/>
        <w:snapToGrid/>
        <w:spacing w:beforeAutospacing="0" w:afterAutospacing="0" w:line="578" w:lineRule="exact"/>
        <w:ind w:firstLine="420"/>
        <w:jc w:val="both"/>
        <w:textAlignment w:val="auto"/>
        <w:outlineLvl w:val="9"/>
        <w:rPr>
          <w:rFonts w:ascii="宋体" w:hAnsi="宋体" w:eastAsia="宋体" w:cs="宋体"/>
          <w:b w:val="0"/>
          <w:bCs w:val="0"/>
          <w:color w:val="auto"/>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中华人民共和国政府信息公开条例》《潍坊市人民政府办公室关于做好2021年政府信息公开工作年度报告编制发布和报送工作的通知》《昌乐县人民政府办公室关于做好2021年政府信息公开工作年度报告编制发布和报送工作的通知》要求，结合我局实际，编制了《昌乐县行政审批服务局2021年政府信息公开工作年度报告》。本年度报告中所列数据的统计期限自2021年1月1日起，至2021年12月31日止。如对本报告有疑问，请联系昌乐县行政审批服务局办公室，联系电话0536-6271889。</w:t>
      </w:r>
    </w:p>
    <w:p>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ind w:firstLine="640" w:firstLineChars="200"/>
        <w:jc w:val="both"/>
        <w:textAlignment w:val="auto"/>
        <w:outlineLvl w:val="9"/>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lang w:val="en-US" w:eastAsia="zh-CN"/>
        </w:rPr>
        <w:t>一、</w:t>
      </w:r>
      <w:r>
        <w:rPr>
          <w:rFonts w:hint="eastAsia" w:ascii="黑体" w:hAnsi="黑体" w:eastAsia="黑体" w:cs="黑体"/>
          <w:b w:val="0"/>
          <w:bCs w:val="0"/>
          <w:color w:val="auto"/>
          <w:sz w:val="32"/>
          <w:szCs w:val="32"/>
          <w:shd w:val="clear" w:color="auto" w:fill="FFFFFF"/>
        </w:rPr>
        <w:t>总体情况</w:t>
      </w:r>
    </w:p>
    <w:p>
      <w:pPr>
        <w:pStyle w:val="4"/>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78" w:lineRule="exact"/>
        <w:jc w:val="both"/>
        <w:textAlignment w:val="auto"/>
        <w:outlineLvl w:val="9"/>
        <w:rPr>
          <w:rFonts w:hint="default"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sz w:val="32"/>
          <w:szCs w:val="32"/>
          <w:shd w:val="clear" w:color="auto" w:fill="FFFFFF"/>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 xml:space="preserve"> 2021年，我局认真贯彻落实党中央、国务院和省、市、县关于政府信息公开工作的部署要求，制定政务公开重点工作任务分工实施方案，对政务公开工作进行人员培训，</w:t>
      </w:r>
      <w:r>
        <w:rPr>
          <w:rFonts w:ascii="仿宋_GB2312" w:hAnsi="宋体" w:eastAsia="仿宋_GB2312" w:cs="仿宋_GB2312"/>
          <w:b w:val="0"/>
          <w:bCs w:val="0"/>
          <w:i w:val="0"/>
          <w:iCs w:val="0"/>
          <w:caps w:val="0"/>
          <w:color w:val="000000"/>
          <w:spacing w:val="0"/>
          <w:sz w:val="32"/>
          <w:szCs w:val="32"/>
          <w:shd w:val="clear" w:fill="FFFFFF"/>
        </w:rPr>
        <w:t>积极</w:t>
      </w:r>
      <w:r>
        <w:rPr>
          <w:rFonts w:hint="eastAsia" w:ascii="仿宋_GB2312" w:hAnsi="宋体" w:eastAsia="仿宋_GB2312" w:cs="仿宋_GB2312"/>
          <w:b w:val="0"/>
          <w:bCs w:val="0"/>
          <w:i w:val="0"/>
          <w:iCs w:val="0"/>
          <w:caps w:val="0"/>
          <w:color w:val="000000"/>
          <w:spacing w:val="0"/>
          <w:sz w:val="32"/>
          <w:szCs w:val="32"/>
          <w:shd w:val="clear" w:fill="FFFFFF"/>
          <w:lang w:val="en-US" w:eastAsia="zh-CN"/>
        </w:rPr>
        <w:t>主动</w:t>
      </w:r>
      <w:r>
        <w:rPr>
          <w:rFonts w:ascii="仿宋_GB2312" w:hAnsi="宋体" w:eastAsia="仿宋_GB2312" w:cs="仿宋_GB2312"/>
          <w:b w:val="0"/>
          <w:bCs w:val="0"/>
          <w:i w:val="0"/>
          <w:iCs w:val="0"/>
          <w:caps w:val="0"/>
          <w:color w:val="000000"/>
          <w:spacing w:val="0"/>
          <w:sz w:val="32"/>
          <w:szCs w:val="32"/>
          <w:shd w:val="clear" w:fill="FFFFFF"/>
        </w:rPr>
        <w:t>开展政府信息公开工作，保障了政府信息公开工作依法、及时、准确、有序地开展。</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主动公开政府信息情况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2021</w:t>
      </w:r>
      <w:r>
        <w:rPr>
          <w:rFonts w:hint="eastAsia" w:ascii="仿宋_GB2312" w:hAnsi="仿宋_GB2312" w:eastAsia="仿宋_GB2312" w:cs="仿宋_GB2312"/>
          <w:b w:val="0"/>
          <w:bCs w:val="0"/>
          <w:color w:val="auto"/>
          <w:sz w:val="32"/>
          <w:szCs w:val="32"/>
        </w:rPr>
        <w:t>年，我</w:t>
      </w:r>
      <w:r>
        <w:rPr>
          <w:rFonts w:hint="eastAsia" w:ascii="仿宋_GB2312" w:hAnsi="仿宋_GB2312" w:eastAsia="仿宋_GB2312" w:cs="仿宋_GB2312"/>
          <w:b w:val="0"/>
          <w:bCs w:val="0"/>
          <w:color w:val="auto"/>
          <w:sz w:val="32"/>
          <w:szCs w:val="32"/>
          <w:lang w:val="en-US" w:eastAsia="zh-CN"/>
        </w:rPr>
        <w:t>局</w:t>
      </w:r>
      <w:r>
        <w:rPr>
          <w:rFonts w:hint="eastAsia" w:ascii="仿宋_GB2312" w:hAnsi="仿宋_GB2312" w:eastAsia="仿宋_GB2312" w:cs="仿宋_GB2312"/>
          <w:b w:val="0"/>
          <w:bCs w:val="0"/>
          <w:color w:val="auto"/>
          <w:sz w:val="32"/>
          <w:szCs w:val="32"/>
        </w:rPr>
        <w:t>累计主动公开政务信息</w:t>
      </w:r>
      <w:r>
        <w:rPr>
          <w:rFonts w:hint="eastAsia" w:ascii="仿宋_GB2312" w:hAnsi="仿宋_GB2312" w:eastAsia="仿宋_GB2312" w:cs="仿宋_GB2312"/>
          <w:b w:val="0"/>
          <w:bCs w:val="0"/>
          <w:color w:val="auto"/>
          <w:sz w:val="32"/>
          <w:szCs w:val="32"/>
          <w:lang w:val="en-US" w:eastAsia="zh-CN"/>
        </w:rPr>
        <w:t>3277</w:t>
      </w:r>
      <w:r>
        <w:rPr>
          <w:rFonts w:hint="eastAsia" w:ascii="仿宋_GB2312" w:hAnsi="仿宋_GB2312" w:eastAsia="仿宋_GB2312" w:cs="仿宋_GB2312"/>
          <w:b w:val="0"/>
          <w:bCs w:val="0"/>
          <w:color w:val="auto"/>
          <w:sz w:val="32"/>
          <w:szCs w:val="32"/>
        </w:rPr>
        <w:t>条，主要为</w:t>
      </w:r>
      <w:r>
        <w:rPr>
          <w:rFonts w:hint="eastAsia" w:ascii="仿宋_GB2312" w:hAnsi="仿宋_GB2312" w:eastAsia="仿宋_GB2312" w:cs="仿宋_GB2312"/>
          <w:b w:val="0"/>
          <w:bCs w:val="0"/>
          <w:color w:val="auto"/>
          <w:sz w:val="32"/>
          <w:szCs w:val="32"/>
          <w:lang w:val="en-US" w:eastAsia="zh-CN"/>
        </w:rPr>
        <w:t>声明、公示和公告等。</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161925</wp:posOffset>
            </wp:positionV>
            <wp:extent cx="5269230" cy="3560445"/>
            <wp:effectExtent l="0" t="0" r="7620" b="1905"/>
            <wp:wrapTopAndBottom/>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269230" cy="3560445"/>
                    </a:xfrm>
                    <a:prstGeom prst="rect">
                      <a:avLst/>
                    </a:prstGeom>
                  </pic:spPr>
                </pic:pic>
              </a:graphicData>
            </a:graphic>
          </wp:anchor>
        </w:drawing>
      </w:r>
      <w:r>
        <w:rPr>
          <w:rFonts w:hint="eastAsia" w:ascii="楷体_GB2312" w:hAnsi="楷体_GB2312" w:eastAsia="楷体_GB2312" w:cs="楷体_GB2312"/>
          <w:b w:val="0"/>
          <w:bCs w:val="0"/>
          <w:color w:val="auto"/>
          <w:sz w:val="32"/>
          <w:szCs w:val="32"/>
          <w:lang w:val="en-US" w:eastAsia="zh-CN"/>
        </w:rPr>
        <w:t>（二）依申请公开情况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2021年，我局未收到依申请公开案件。</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（三）政府信息管理</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进一步建立健全政府信息公开制度，完善政务信息常态化管理机制，及时对相关政策措施进行解读宣传。常态化开展政府信息公开工作培训，持续提升相关人员业务能力。</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rPr>
        <w:t>）公开平台建设情况</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将</w:t>
      </w:r>
      <w:r>
        <w:rPr>
          <w:rFonts w:hint="eastAsia" w:ascii="仿宋_GB2312" w:hAnsi="仿宋_GB2312" w:eastAsia="仿宋_GB2312" w:cs="仿宋_GB2312"/>
          <w:b w:val="0"/>
          <w:bCs w:val="0"/>
          <w:color w:val="auto"/>
          <w:sz w:val="32"/>
          <w:szCs w:val="32"/>
          <w:lang w:val="en-US" w:eastAsia="zh-CN"/>
        </w:rPr>
        <w:t>我</w:t>
      </w:r>
      <w:r>
        <w:rPr>
          <w:rFonts w:hint="eastAsia" w:ascii="仿宋_GB2312" w:hAnsi="仿宋_GB2312" w:eastAsia="仿宋_GB2312" w:cs="仿宋_GB2312"/>
          <w:b w:val="0"/>
          <w:bCs w:val="0"/>
          <w:color w:val="auto"/>
          <w:sz w:val="32"/>
          <w:szCs w:val="32"/>
        </w:rPr>
        <w:t>局</w:t>
      </w:r>
      <w:r>
        <w:rPr>
          <w:rFonts w:hint="eastAsia" w:ascii="仿宋_GB2312" w:hAnsi="仿宋_GB2312" w:eastAsia="仿宋_GB2312" w:cs="仿宋_GB2312"/>
          <w:b w:val="0"/>
          <w:bCs w:val="0"/>
          <w:color w:val="auto"/>
          <w:sz w:val="32"/>
          <w:szCs w:val="32"/>
          <w:lang w:val="en-US" w:eastAsia="zh-CN"/>
        </w:rPr>
        <w:t>承担</w:t>
      </w:r>
      <w:r>
        <w:rPr>
          <w:rFonts w:hint="eastAsia" w:ascii="仿宋_GB2312" w:hAnsi="仿宋_GB2312" w:eastAsia="仿宋_GB2312" w:cs="仿宋_GB2312"/>
          <w:b w:val="0"/>
          <w:bCs w:val="0"/>
          <w:color w:val="auto"/>
          <w:sz w:val="32"/>
          <w:szCs w:val="32"/>
        </w:rPr>
        <w:t>的行政审批事项的设定依据、办事程序、申请条件、申报材料、收费依据、收费标准、投诉联系方式等方面信息在网站公开</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自2016年12月昌乐分中心成立以来，依托潍坊市公共资源电子交易平台，各类公共资源交易信息均在潍坊市公共资源交易中心昌乐分中心网站依法、依规公开对外发布</w:t>
      </w:r>
      <w:r>
        <w:rPr>
          <w:rFonts w:hint="eastAsia" w:ascii="仿宋_GB2312" w:hAnsi="仿宋_GB2312" w:eastAsia="仿宋_GB2312" w:cs="仿宋_GB2312"/>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3.在充分利用传统公告栏、报纸、广播、电视等媒介资源的基础上，积极探索利用微博、微信、政务APP等移动客户端应用</w:t>
      </w:r>
      <w:r>
        <w:rPr>
          <w:rFonts w:hint="eastAsia" w:ascii="仿宋_GB2312" w:hAnsi="仿宋_GB2312" w:eastAsia="仿宋_GB2312" w:cs="仿宋_GB2312"/>
          <w:b w:val="0"/>
          <w:bCs w:val="0"/>
          <w:color w:val="auto"/>
          <w:sz w:val="32"/>
          <w:szCs w:val="32"/>
        </w:rPr>
        <w:t>，及时宣传报道重大事件、重要政务活动、重点项目建设等情况。</w:t>
      </w:r>
    </w:p>
    <w:p>
      <w:pPr>
        <w:keepNext w:val="0"/>
        <w:keepLines w:val="0"/>
        <w:pageBreakBefore w:val="0"/>
        <w:widowControl/>
        <w:suppressLineNumbers w:val="0"/>
        <w:shd w:val="clear"/>
        <w:kinsoku/>
        <w:wordWrap/>
        <w:overflowPunct/>
        <w:topLinePunct w:val="0"/>
        <w:autoSpaceDE/>
        <w:autoSpaceDN/>
        <w:bidi w:val="0"/>
        <w:adjustRightInd/>
        <w:snapToGrid/>
        <w:spacing w:line="578" w:lineRule="exact"/>
        <w:ind w:left="0" w:firstLine="640" w:firstLineChars="200"/>
        <w:jc w:val="lef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（五）监督保障情况</w:t>
      </w:r>
    </w:p>
    <w:p>
      <w:pPr>
        <w:keepNext w:val="0"/>
        <w:keepLines w:val="0"/>
        <w:pageBreakBefore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cs="黑体"/>
          <w:b w:val="0"/>
          <w:bCs w:val="0"/>
          <w:sz w:val="32"/>
          <w:szCs w:val="32"/>
        </w:rPr>
      </w:pP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rPr>
        <w:t>是完善工作机制。制定《</w:t>
      </w:r>
      <w:r>
        <w:rPr>
          <w:rFonts w:hint="eastAsia" w:ascii="仿宋_GB2312" w:hAnsi="仿宋_GB2312" w:eastAsia="仿宋_GB2312" w:cs="仿宋_GB2312"/>
          <w:b w:val="0"/>
          <w:bCs w:val="0"/>
          <w:color w:val="auto"/>
          <w:sz w:val="32"/>
          <w:szCs w:val="32"/>
          <w:lang w:val="en-US" w:eastAsia="zh-CN"/>
        </w:rPr>
        <w:t>2021年政务公开重点工作任务分工实施方案</w:t>
      </w:r>
      <w:r>
        <w:rPr>
          <w:rFonts w:hint="eastAsia" w:ascii="仿宋_GB2312" w:hAnsi="仿宋_GB2312" w:eastAsia="仿宋_GB2312" w:cs="仿宋_GB2312"/>
          <w:b w:val="0"/>
          <w:bCs w:val="0"/>
          <w:color w:val="auto"/>
          <w:sz w:val="32"/>
          <w:szCs w:val="32"/>
        </w:rPr>
        <w:t>》，明确</w:t>
      </w:r>
      <w:r>
        <w:rPr>
          <w:rFonts w:hint="eastAsia" w:ascii="仿宋_GB2312" w:hAnsi="仿宋_GB2312" w:eastAsia="仿宋_GB2312" w:cs="仿宋_GB2312"/>
          <w:b w:val="0"/>
          <w:bCs w:val="0"/>
          <w:color w:val="auto"/>
          <w:sz w:val="32"/>
          <w:szCs w:val="32"/>
          <w:lang w:val="en-US" w:eastAsia="zh-CN"/>
        </w:rPr>
        <w:t>我</w:t>
      </w:r>
      <w:r>
        <w:rPr>
          <w:rFonts w:hint="eastAsia" w:ascii="仿宋_GB2312" w:hAnsi="仿宋_GB2312" w:eastAsia="仿宋_GB2312" w:cs="仿宋_GB2312"/>
          <w:b w:val="0"/>
          <w:bCs w:val="0"/>
          <w:color w:val="auto"/>
          <w:sz w:val="32"/>
          <w:szCs w:val="32"/>
        </w:rPr>
        <w:t>局政府信息公开工作原则、年度任务；</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是强化考核监督。将政府信息公开工作纳入年度绩效考核体系，激发局机关政府信息公开工作积极性；</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是抓好</w:t>
      </w:r>
      <w:r>
        <w:rPr>
          <w:rFonts w:hint="eastAsia" w:ascii="仿宋_GB2312" w:hAnsi="仿宋_GB2312" w:eastAsia="仿宋_GB2312" w:cs="仿宋_GB2312"/>
          <w:b w:val="0"/>
          <w:bCs w:val="0"/>
          <w:color w:val="auto"/>
          <w:sz w:val="32"/>
          <w:szCs w:val="32"/>
          <w:lang w:val="en-US" w:eastAsia="zh-CN"/>
        </w:rPr>
        <w:t>人员</w:t>
      </w:r>
      <w:r>
        <w:rPr>
          <w:rFonts w:hint="eastAsia" w:ascii="仿宋_GB2312" w:hAnsi="仿宋_GB2312" w:eastAsia="仿宋_GB2312" w:cs="仿宋_GB2312"/>
          <w:b w:val="0"/>
          <w:bCs w:val="0"/>
          <w:color w:val="auto"/>
          <w:sz w:val="32"/>
          <w:szCs w:val="32"/>
        </w:rPr>
        <w:t>培训。</w:t>
      </w:r>
      <w:r>
        <w:rPr>
          <w:rFonts w:hint="eastAsia" w:ascii="仿宋_GB2312" w:hAnsi="仿宋_GB2312" w:eastAsia="仿宋_GB2312" w:cs="仿宋_GB2312"/>
          <w:b w:val="0"/>
          <w:bCs w:val="0"/>
          <w:color w:val="auto"/>
          <w:sz w:val="32"/>
          <w:szCs w:val="32"/>
          <w:lang w:val="en-US" w:eastAsia="zh-CN"/>
        </w:rPr>
        <w:t>明确</w:t>
      </w:r>
      <w:r>
        <w:rPr>
          <w:rFonts w:hint="eastAsia" w:ascii="仿宋_GB2312" w:hAnsi="仿宋_GB2312" w:eastAsia="仿宋_GB2312" w:cs="仿宋_GB2312"/>
          <w:b w:val="0"/>
          <w:bCs w:val="0"/>
          <w:color w:val="auto"/>
          <w:sz w:val="32"/>
          <w:szCs w:val="32"/>
        </w:rPr>
        <w:t>政务公开分管负责人，全面负责我局政务公开</w:t>
      </w:r>
      <w:r>
        <w:rPr>
          <w:rFonts w:hint="eastAsia" w:ascii="仿宋_GB2312" w:hAnsi="仿宋_GB2312" w:eastAsia="仿宋_GB2312" w:cs="仿宋_GB2312"/>
          <w:b w:val="0"/>
          <w:bCs w:val="0"/>
          <w:color w:val="auto"/>
          <w:sz w:val="32"/>
          <w:szCs w:val="32"/>
          <w:lang w:val="en-US" w:eastAsia="zh-CN"/>
        </w:rPr>
        <w:t>工作，确定</w:t>
      </w:r>
      <w:r>
        <w:rPr>
          <w:rFonts w:hint="eastAsia" w:ascii="仿宋_GB2312" w:hAnsi="仿宋_GB2312" w:eastAsia="仿宋_GB2312" w:cs="仿宋_GB2312"/>
          <w:b w:val="0"/>
          <w:bCs w:val="0"/>
          <w:color w:val="auto"/>
          <w:sz w:val="32"/>
          <w:szCs w:val="32"/>
        </w:rPr>
        <w:t>专人负责政务公开工作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积极参加</w:t>
      </w:r>
      <w:r>
        <w:rPr>
          <w:rFonts w:hint="eastAsia" w:ascii="仿宋_GB2312" w:hAnsi="仿宋_GB2312" w:eastAsia="仿宋_GB2312" w:cs="仿宋_GB2312"/>
          <w:b w:val="0"/>
          <w:bCs w:val="0"/>
          <w:color w:val="auto"/>
          <w:sz w:val="32"/>
          <w:szCs w:val="32"/>
          <w:lang w:val="en-US" w:eastAsia="zh-CN"/>
        </w:rPr>
        <w:t>上级</w:t>
      </w:r>
      <w:r>
        <w:rPr>
          <w:rFonts w:hint="eastAsia" w:ascii="仿宋_GB2312" w:hAnsi="仿宋_GB2312" w:eastAsia="仿宋_GB2312" w:cs="仿宋_GB2312"/>
          <w:b w:val="0"/>
          <w:bCs w:val="0"/>
          <w:color w:val="auto"/>
          <w:sz w:val="32"/>
          <w:szCs w:val="32"/>
        </w:rPr>
        <w:t>组织的政府信息公开工作会议和业务培训，提高政府信息公开工作能力</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确保</w:t>
      </w:r>
      <w:r>
        <w:rPr>
          <w:rFonts w:hint="eastAsia" w:ascii="仿宋_GB2312" w:hAnsi="仿宋_GB2312" w:eastAsia="仿宋_GB2312" w:cs="仿宋_GB2312"/>
          <w:b w:val="0"/>
          <w:bCs w:val="0"/>
          <w:color w:val="auto"/>
          <w:sz w:val="32"/>
          <w:szCs w:val="32"/>
        </w:rPr>
        <w:t>全面、及时公开我局相关工作信息。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二、主动公开政府信息情况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bCs w:val="0"/>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w:t>
            </w:r>
            <w:r>
              <w:rPr>
                <w:rFonts w:hint="eastAsia" w:ascii="宋体" w:hAnsi="宋体" w:eastAsia="宋体" w:cs="宋体"/>
                <w:b w:val="0"/>
                <w:bCs w:val="0"/>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现行有效件</w:t>
            </w:r>
            <w:r>
              <w:rPr>
                <w:rFonts w:hint="eastAsia" w:ascii="宋体" w:hAnsi="宋体" w:eastAsia="宋体" w:cs="宋体"/>
                <w:b w:val="0"/>
                <w:bCs w:val="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ascii="Calibri" w:hAnsi="Calibri" w:eastAsia="宋体" w:cs="Calibri"/>
                <w:b w:val="0"/>
                <w:bCs w:val="0"/>
                <w:kern w:val="0"/>
                <w:sz w:val="21"/>
                <w:szCs w:val="21"/>
                <w:lang w:val="en-US" w:eastAsia="zh-CN" w:bidi="ar"/>
              </w:rPr>
              <w:t> </w:t>
            </w:r>
            <w:r>
              <w:rPr>
                <w:rFonts w:hint="eastAsia" w:ascii="Calibri" w:hAnsi="Calibri" w:eastAsia="宋体" w:cs="Calibri"/>
                <w:b w:val="0"/>
                <w:bCs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default" w:ascii="Calibri" w:hAnsi="Calibri" w:eastAsia="宋体" w:cs="Calibri"/>
                <w:b w:val="0"/>
                <w:bCs w:val="0"/>
                <w:kern w:val="0"/>
                <w:sz w:val="21"/>
                <w:szCs w:val="21"/>
                <w:lang w:val="en-US" w:eastAsia="zh-CN" w:bidi="ar"/>
              </w:rPr>
              <w:t> </w:t>
            </w:r>
            <w:r>
              <w:rPr>
                <w:rFonts w:hint="eastAsia" w:ascii="Calibri" w:hAnsi="Calibri" w:eastAsia="宋体" w:cs="Calibri"/>
                <w:b w:val="0"/>
                <w:bCs w:val="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50413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b w:val="0"/>
                <w:bCs w:val="0"/>
                <w:lang w:val="en-US"/>
              </w:rPr>
            </w:pPr>
            <w:r>
              <w:rPr>
                <w:rFonts w:hint="eastAsia" w:ascii="宋体" w:hAnsi="宋体" w:eastAsia="宋体" w:cs="宋体"/>
                <w:b w:val="0"/>
                <w:bCs w:val="0"/>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Theme="minorEastAsia"/>
                <w:b w:val="0"/>
                <w:bCs w:val="0"/>
                <w:sz w:val="24"/>
                <w:szCs w:val="24"/>
                <w:lang w:val="en-US" w:eastAsia="zh-CN"/>
              </w:rPr>
            </w:pPr>
            <w:r>
              <w:rPr>
                <w:rFonts w:hint="eastAsia" w:ascii="宋体" w:hAnsi="宋体" w:eastAsia="宋体" w:cs="宋体"/>
                <w:b w:val="0"/>
                <w:bCs w:val="0"/>
                <w:color w:val="000000"/>
                <w:kern w:val="0"/>
                <w:sz w:val="20"/>
                <w:szCs w:val="20"/>
                <w:lang w:val="en-US" w:eastAsia="zh-CN" w:bidi="ar"/>
              </w:rPr>
              <w:t>0</w:t>
            </w:r>
          </w:p>
        </w:tc>
      </w:tr>
    </w:tbl>
    <w:p>
      <w:pPr>
        <w:keepNext w:val="0"/>
        <w:keepLines w:val="0"/>
        <w:widowControl/>
        <w:suppressLineNumbers w:val="0"/>
        <w:jc w:val="left"/>
        <w:rPr>
          <w:b w:val="0"/>
          <w:bCs w:val="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bCs w:val="0"/>
          <w:sz w:val="32"/>
          <w:szCs w:val="32"/>
        </w:rPr>
      </w:pPr>
      <w:r>
        <w:rPr>
          <w:rFonts w:hint="eastAsia" w:ascii="黑体" w:hAnsi="黑体" w:eastAsia="黑体" w:cs="黑体"/>
          <w:b w:val="0"/>
          <w:bCs w:val="0"/>
          <w:sz w:val="32"/>
          <w:szCs w:val="32"/>
        </w:rPr>
        <w:t>三、收到和处理政府信息公开申请情况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bCs w:val="0"/>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ascii="楷体" w:hAnsi="楷体" w:eastAsia="楷体" w:cs="楷体"/>
                <w:b w:val="0"/>
                <w:bCs w:val="0"/>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宋体" w:hAnsi="宋体" w:eastAsia="宋体" w:cs="宋体"/>
                <w:b w:val="0"/>
                <w:bCs w:val="0"/>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val="0"/>
                <w:bCs w:val="0"/>
                <w:lang w:val="en-US"/>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b w:val="0"/>
                <w:bCs w:val="0"/>
                <w:lang w:val="en-US"/>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（二）部分公开</w:t>
            </w:r>
            <w:r>
              <w:rPr>
                <w:rFonts w:hint="eastAsia" w:ascii="楷体" w:hAnsi="楷体" w:eastAsia="楷体" w:cs="楷体"/>
                <w:b w:val="0"/>
                <w:bCs w:val="0"/>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bCs w:val="0"/>
              </w:rPr>
            </w:pPr>
            <w:r>
              <w:rPr>
                <w:rFonts w:hint="eastAsia" w:ascii="宋体" w:hAnsi="宋体" w:eastAsia="宋体" w:cs="宋体"/>
                <w:b w:val="0"/>
                <w:bCs w:val="0"/>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bCs w:val="0"/>
              </w:rPr>
            </w:pPr>
            <w:r>
              <w:rPr>
                <w:rFonts w:hint="eastAsia" w:ascii="宋体" w:hAnsi="宋体" w:eastAsia="宋体" w:cs="宋体"/>
                <w:b w:val="0"/>
                <w:bCs w:val="0"/>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b w:val="0"/>
                <w:bCs w:val="0"/>
              </w:rPr>
            </w:pPr>
            <w:r>
              <w:rPr>
                <w:rFonts w:hint="eastAsia" w:ascii="宋体" w:hAnsi="宋体" w:eastAsia="宋体" w:cs="宋体"/>
                <w:b w:val="0"/>
                <w:bCs w:val="0"/>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b w:val="0"/>
                <w:bCs w:val="0"/>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rPr>
            </w:pPr>
            <w:r>
              <w:rPr>
                <w:rFonts w:hint="eastAsia" w:ascii="宋体" w:hAnsi="宋体" w:eastAsia="宋体" w:cs="宋体"/>
                <w:b w:val="0"/>
                <w:bCs w:val="0"/>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default" w:ascii="Calibri" w:hAnsi="Calibri" w:eastAsia="宋体" w:cs="Calibri"/>
                <w:b w:val="0"/>
                <w:bCs w:val="0"/>
                <w:kern w:val="0"/>
                <w:sz w:val="20"/>
                <w:szCs w:val="20"/>
                <w:lang w:val="en-US" w:eastAsia="zh-CN" w:bidi="ar"/>
              </w:rPr>
              <w:t> </w:t>
            </w:r>
            <w:r>
              <w:rPr>
                <w:rFonts w:hint="eastAsia" w:ascii="Calibri" w:hAnsi="Calibri" w:eastAsia="宋体" w:cs="Calibri"/>
                <w:b w:val="0"/>
                <w:bCs w:val="0"/>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b w:val="0"/>
                <w:bCs w:val="0"/>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b w:val="0"/>
                <w:bCs w:val="0"/>
                <w:sz w:val="24"/>
                <w:szCs w:val="24"/>
              </w:rPr>
            </w:pPr>
            <w:r>
              <w:rPr>
                <w:rFonts w:hint="eastAsia" w:ascii="Calibri" w:hAnsi="Calibri" w:eastAsia="宋体" w:cs="Calibri"/>
                <w:b w:val="0"/>
                <w:bCs w:val="0"/>
                <w:kern w:val="0"/>
                <w:sz w:val="20"/>
                <w:szCs w:val="20"/>
                <w:lang w:val="en-US" w:eastAsia="zh-CN" w:bidi="ar"/>
              </w:rPr>
              <w:t>0</w:t>
            </w:r>
            <w:r>
              <w:rPr>
                <w:rFonts w:hint="default" w:ascii="Calibri" w:hAnsi="Calibri" w:eastAsia="宋体" w:cs="Calibri"/>
                <w:b w:val="0"/>
                <w:bCs w:val="0"/>
                <w:kern w:val="0"/>
                <w:sz w:val="20"/>
                <w:szCs w:val="20"/>
                <w:lang w:val="en-US" w:eastAsia="zh-CN" w:bidi="ar"/>
              </w:rPr>
              <w:t> </w:t>
            </w:r>
          </w:p>
        </w:tc>
      </w:tr>
    </w:tbl>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exact"/>
        <w:ind w:firstLine="320" w:firstLineChars="100"/>
        <w:jc w:val="both"/>
        <w:textAlignment w:val="auto"/>
        <w:outlineLvl w:val="9"/>
        <w:rPr>
          <w:rFonts w:hint="eastAsia" w:ascii="黑体" w:hAnsi="黑体" w:eastAsia="黑体" w:cs="黑体"/>
          <w:b w:val="0"/>
          <w:bCs w:val="0"/>
          <w:color w:val="auto"/>
          <w:sz w:val="32"/>
          <w:szCs w:val="32"/>
          <w:shd w:val="clear" w:color="auto" w:fill="FFFFFF"/>
        </w:rPr>
      </w:pPr>
      <w:r>
        <w:rPr>
          <w:rFonts w:hint="eastAsia" w:ascii="黑体" w:hAnsi="黑体" w:eastAsia="黑体" w:cs="黑体"/>
          <w:b w:val="0"/>
          <w:bCs w:val="0"/>
          <w:color w:val="auto"/>
          <w:sz w:val="32"/>
          <w:szCs w:val="32"/>
          <w:shd w:val="clear" w:color="auto" w:fill="FFFFFF"/>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color w:val="000000"/>
                <w:kern w:val="0"/>
                <w:sz w:val="20"/>
                <w:szCs w:val="20"/>
                <w:lang w:val="en-US" w:eastAsia="zh-CN" w:bidi="ar"/>
              </w:rPr>
            </w:pPr>
            <w:r>
              <w:rPr>
                <w:rFonts w:hint="eastAsia" w:ascii="宋体" w:hAnsi="宋体" w:eastAsia="宋体" w:cs="宋体"/>
                <w:b w:val="0"/>
                <w:bCs w:val="0"/>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bCs w:val="0"/>
                <w:kern w:val="0"/>
                <w:sz w:val="20"/>
                <w:szCs w:val="20"/>
                <w:lang w:val="en-US" w:eastAsia="zh-CN" w:bidi="ar"/>
              </w:rPr>
            </w:pPr>
            <w:r>
              <w:rPr>
                <w:rFonts w:hint="eastAsia" w:ascii="宋体" w:hAnsi="宋体" w:eastAsia="宋体" w:cs="宋体"/>
                <w:b w:val="0"/>
                <w:bCs w:val="0"/>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宋体" w:hAnsi="宋体" w:eastAsia="宋体" w:cs="宋体"/>
                <w:b w:val="0"/>
                <w:bCs w:val="0"/>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r>
              <w:rPr>
                <w:rFonts w:ascii="黑体" w:hAnsi="宋体" w:eastAsia="黑体" w:cs="黑体"/>
                <w:b w:val="0"/>
                <w:bCs w:val="0"/>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rPr>
            </w:pPr>
            <w:r>
              <w:rPr>
                <w:rFonts w:hint="eastAsia" w:ascii="黑体" w:hAnsi="宋体" w:eastAsia="黑体" w:cs="黑体"/>
                <w:b w:val="0"/>
                <w:bCs w:val="0"/>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val="0"/>
                <w:bCs w:val="0"/>
                <w:sz w:val="24"/>
                <w:szCs w:val="24"/>
              </w:rPr>
            </w:pPr>
            <w:r>
              <w:rPr>
                <w:rFonts w:hint="eastAsia" w:ascii="黑体" w:hAnsi="宋体" w:eastAsia="黑体" w:cs="黑体"/>
                <w:b w:val="0"/>
                <w:bCs w:val="0"/>
                <w:kern w:val="0"/>
                <w:sz w:val="20"/>
                <w:szCs w:val="20"/>
                <w:lang w:val="en-US" w:eastAsia="zh-CN" w:bidi="ar"/>
              </w:rPr>
              <w:t>0</w:t>
            </w:r>
          </w:p>
        </w:tc>
      </w:tr>
    </w:tbl>
    <w:p>
      <w:pPr>
        <w:widowControl/>
        <w:shd w:val="clear" w:color="auto"/>
        <w:jc w:val="center"/>
        <w:rPr>
          <w:rFonts w:ascii="宋体" w:hAnsi="宋体" w:eastAsia="宋体" w:cs="宋体"/>
          <w:b w:val="0"/>
          <w:bCs w:val="0"/>
          <w:color w:val="auto"/>
          <w:sz w:val="24"/>
        </w:rPr>
      </w:pP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42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color="auto" w:fill="FFFFFF"/>
        </w:rPr>
        <w:t>五、存在的主要问题及改进情况</w:t>
      </w:r>
    </w:p>
    <w:p>
      <w:pPr>
        <w:keepNext w:val="0"/>
        <w:keepLines w:val="0"/>
        <w:pageBreakBefore w:val="0"/>
        <w:widowControl/>
        <w:kinsoku/>
        <w:wordWrap/>
        <w:overflowPunct/>
        <w:topLinePunct w:val="0"/>
        <w:autoSpaceDE/>
        <w:autoSpaceDN/>
        <w:bidi w:val="0"/>
        <w:adjustRightInd/>
        <w:snapToGrid/>
        <w:spacing w:line="578" w:lineRule="atLeast"/>
        <w:ind w:firstLine="643"/>
        <w:jc w:val="left"/>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一</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2020年问题整改情况</w:t>
      </w:r>
    </w:p>
    <w:p>
      <w:pPr>
        <w:keepNext w:val="0"/>
        <w:keepLines w:val="0"/>
        <w:pageBreakBefore w:val="0"/>
        <w:widowControl/>
        <w:kinsoku/>
        <w:wordWrap/>
        <w:overflowPunct/>
        <w:topLinePunct w:val="0"/>
        <w:autoSpaceDE/>
        <w:autoSpaceDN/>
        <w:bidi w:val="0"/>
        <w:adjustRightInd/>
        <w:snapToGrid/>
        <w:spacing w:line="578" w:lineRule="atLeast"/>
        <w:ind w:firstLine="643"/>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kern w:val="0"/>
          <w:sz w:val="32"/>
          <w:szCs w:val="32"/>
        </w:rPr>
        <w:t>一是</w:t>
      </w:r>
      <w:r>
        <w:rPr>
          <w:rFonts w:hint="eastAsia" w:ascii="仿宋_GB2312" w:hAnsi="仿宋_GB2312" w:eastAsia="仿宋_GB2312" w:cs="仿宋_GB2312"/>
          <w:b w:val="0"/>
          <w:bCs w:val="0"/>
          <w:color w:val="auto"/>
          <w:sz w:val="32"/>
          <w:szCs w:val="32"/>
        </w:rPr>
        <w:t>安排专人负责政务公开工作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积极参加县政府组织的政府信息公开工作会议和业务培训，</w:t>
      </w:r>
      <w:r>
        <w:rPr>
          <w:rFonts w:hint="eastAsia" w:ascii="仿宋_GB2312" w:hAnsi="仿宋_GB2312" w:eastAsia="仿宋_GB2312" w:cs="仿宋_GB2312"/>
          <w:b w:val="0"/>
          <w:bCs w:val="0"/>
          <w:color w:val="auto"/>
          <w:sz w:val="32"/>
          <w:szCs w:val="32"/>
          <w:lang w:val="en-US" w:eastAsia="zh-CN"/>
        </w:rPr>
        <w:t>并在本局开展政务公开工作培训，强化了政务公开意识，提升了政务公开能力水平。二是细化责任分工，明确各科室政务公开相关职责，加大了政务公开力度。</w:t>
      </w:r>
    </w:p>
    <w:p>
      <w:pPr>
        <w:keepNext w:val="0"/>
        <w:keepLines w:val="0"/>
        <w:pageBreakBefore w:val="0"/>
        <w:widowControl/>
        <w:kinsoku/>
        <w:wordWrap/>
        <w:overflowPunct/>
        <w:topLinePunct w:val="0"/>
        <w:autoSpaceDE/>
        <w:autoSpaceDN/>
        <w:bidi w:val="0"/>
        <w:adjustRightInd/>
        <w:snapToGrid/>
        <w:spacing w:line="578" w:lineRule="atLeast"/>
        <w:ind w:firstLine="640" w:firstLineChars="200"/>
        <w:jc w:val="left"/>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二</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2021年存在的主要问题</w:t>
      </w:r>
    </w:p>
    <w:p>
      <w:pPr>
        <w:keepNext w:val="0"/>
        <w:keepLines w:val="0"/>
        <w:pageBreakBefore w:val="0"/>
        <w:widowControl/>
        <w:kinsoku/>
        <w:wordWrap/>
        <w:overflowPunct/>
        <w:topLinePunct w:val="0"/>
        <w:autoSpaceDE/>
        <w:autoSpaceDN/>
        <w:bidi w:val="0"/>
        <w:adjustRightInd/>
        <w:snapToGrid/>
        <w:spacing w:line="578" w:lineRule="atLeast"/>
        <w:ind w:firstLine="640" w:firstLineChars="200"/>
        <w:jc w:val="left"/>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一是有些科室在报送政务公开信息时，格式不规范；二是公开目录需根据政策变化和群众需求变化进行优化完善。</w:t>
      </w:r>
    </w:p>
    <w:p>
      <w:pPr>
        <w:keepNext w:val="0"/>
        <w:keepLines w:val="0"/>
        <w:pageBreakBefore w:val="0"/>
        <w:widowControl/>
        <w:kinsoku/>
        <w:wordWrap/>
        <w:overflowPunct/>
        <w:topLinePunct w:val="0"/>
        <w:autoSpaceDE/>
        <w:autoSpaceDN/>
        <w:bidi w:val="0"/>
        <w:adjustRightInd/>
        <w:snapToGrid/>
        <w:spacing w:line="578" w:lineRule="atLeast"/>
        <w:ind w:firstLine="640" w:firstLineChars="200"/>
        <w:jc w:val="left"/>
        <w:textAlignment w:val="auto"/>
        <w:outlineLvl w:val="9"/>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（三）改进措施</w:t>
      </w:r>
    </w:p>
    <w:p>
      <w:pPr>
        <w:keepNext w:val="0"/>
        <w:keepLines w:val="0"/>
        <w:pageBreakBefore w:val="0"/>
        <w:widowControl/>
        <w:shd w:val="clear"/>
        <w:kinsoku/>
        <w:wordWrap/>
        <w:overflowPunct/>
        <w:topLinePunct w:val="0"/>
        <w:autoSpaceDE/>
        <w:autoSpaceDN/>
        <w:bidi w:val="0"/>
        <w:adjustRightInd/>
        <w:snapToGrid/>
        <w:spacing w:line="578" w:lineRule="atLeast"/>
        <w:ind w:firstLine="640" w:firstLineChars="200"/>
        <w:jc w:val="left"/>
        <w:textAlignment w:val="auto"/>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下步，将进一步完善政务信息公开工作机制，</w:t>
      </w:r>
      <w:r>
        <w:rPr>
          <w:rFonts w:hint="eastAsia" w:ascii="仿宋_GB2312" w:hAnsi="仿宋_GB2312" w:eastAsia="仿宋_GB2312" w:cs="仿宋_GB2312"/>
          <w:b w:val="0"/>
          <w:bCs w:val="0"/>
          <w:color w:val="auto"/>
          <w:kern w:val="0"/>
          <w:sz w:val="32"/>
          <w:szCs w:val="32"/>
          <w:lang w:val="en-US" w:eastAsia="zh-CN"/>
        </w:rPr>
        <w:t>细化责任分工，制定培训方案，加强政务公开人员培训，提升政务公开人员的业务能力水平；</w:t>
      </w:r>
      <w:r>
        <w:rPr>
          <w:rFonts w:hint="eastAsia" w:ascii="仿宋_GB2312" w:hAnsi="仿宋_GB2312" w:eastAsia="仿宋_GB2312" w:cs="仿宋_GB2312"/>
          <w:b w:val="0"/>
          <w:bCs w:val="0"/>
          <w:color w:val="auto"/>
          <w:kern w:val="0"/>
          <w:sz w:val="32"/>
          <w:szCs w:val="32"/>
        </w:rPr>
        <w:t>增强保密意识，确实做到依法、高效、准确、安全、全面公开政务信息</w:t>
      </w:r>
      <w:r>
        <w:rPr>
          <w:rFonts w:hint="default" w:ascii="仿宋_GB2312" w:hAnsi="仿宋_GB2312" w:eastAsia="仿宋_GB2312" w:cs="仿宋_GB2312"/>
          <w:b w:val="0"/>
          <w:bCs w:val="0"/>
          <w:kern w:val="2"/>
          <w:sz w:val="32"/>
          <w:szCs w:val="32"/>
          <w:lang w:val="en-US" w:eastAsia="zh-CN"/>
        </w:rPr>
        <w:t>；进一步梳理、规范和细化各类</w:t>
      </w:r>
      <w:r>
        <w:rPr>
          <w:rFonts w:hint="eastAsia" w:ascii="仿宋_GB2312" w:hAnsi="仿宋_GB2312" w:eastAsia="仿宋_GB2312" w:cs="仿宋_GB2312"/>
          <w:b w:val="0"/>
          <w:bCs w:val="0"/>
          <w:kern w:val="2"/>
          <w:sz w:val="32"/>
          <w:szCs w:val="32"/>
          <w:lang w:val="en-US" w:eastAsia="zh-CN"/>
        </w:rPr>
        <w:t>政务</w:t>
      </w:r>
      <w:r>
        <w:rPr>
          <w:rFonts w:hint="default" w:ascii="仿宋_GB2312" w:hAnsi="仿宋_GB2312" w:eastAsia="仿宋_GB2312" w:cs="仿宋_GB2312"/>
          <w:b w:val="0"/>
          <w:bCs w:val="0"/>
          <w:kern w:val="2"/>
          <w:sz w:val="32"/>
          <w:szCs w:val="32"/>
          <w:lang w:val="en-US" w:eastAsia="zh-CN"/>
        </w:rPr>
        <w:t>信息，明确公开的责任</w:t>
      </w:r>
      <w:r>
        <w:rPr>
          <w:rFonts w:hint="eastAsia" w:ascii="仿宋_GB2312" w:hAnsi="仿宋_GB2312" w:eastAsia="仿宋_GB2312" w:cs="仿宋_GB2312"/>
          <w:b w:val="0"/>
          <w:bCs w:val="0"/>
          <w:kern w:val="2"/>
          <w:sz w:val="32"/>
          <w:szCs w:val="32"/>
          <w:lang w:val="en-US" w:eastAsia="zh-CN"/>
        </w:rPr>
        <w:t>科室</w:t>
      </w:r>
      <w:r>
        <w:rPr>
          <w:rFonts w:hint="default" w:ascii="仿宋_GB2312" w:hAnsi="仿宋_GB2312" w:eastAsia="仿宋_GB2312" w:cs="仿宋_GB2312"/>
          <w:b w:val="0"/>
          <w:bCs w:val="0"/>
          <w:kern w:val="2"/>
          <w:sz w:val="32"/>
          <w:szCs w:val="32"/>
          <w:lang w:val="en-US" w:eastAsia="zh-CN"/>
        </w:rPr>
        <w:t>，保证主动公开信息</w:t>
      </w:r>
      <w:r>
        <w:rPr>
          <w:rFonts w:hint="eastAsia" w:ascii="仿宋_GB2312" w:hAnsi="仿宋_GB2312" w:eastAsia="仿宋_GB2312" w:cs="仿宋_GB2312"/>
          <w:b w:val="0"/>
          <w:bCs w:val="0"/>
          <w:kern w:val="2"/>
          <w:sz w:val="32"/>
          <w:szCs w:val="32"/>
          <w:lang w:val="en-US" w:eastAsia="zh-CN"/>
        </w:rPr>
        <w:t>得到</w:t>
      </w:r>
      <w:r>
        <w:rPr>
          <w:rFonts w:hint="default" w:ascii="仿宋_GB2312" w:hAnsi="仿宋_GB2312" w:eastAsia="仿宋_GB2312" w:cs="仿宋_GB2312"/>
          <w:b w:val="0"/>
          <w:bCs w:val="0"/>
          <w:kern w:val="2"/>
          <w:sz w:val="32"/>
          <w:szCs w:val="32"/>
          <w:lang w:val="en-US" w:eastAsia="zh-CN"/>
        </w:rPr>
        <w:t>及时公开</w:t>
      </w:r>
      <w:r>
        <w:rPr>
          <w:rFonts w:hint="eastAsia" w:ascii="仿宋_GB2312" w:hAnsi="仿宋_GB2312" w:eastAsia="仿宋_GB2312" w:cs="仿宋_GB2312"/>
          <w:b w:val="0"/>
          <w:bCs w:val="0"/>
          <w:kern w:val="2"/>
          <w:sz w:val="32"/>
          <w:szCs w:val="32"/>
          <w:lang w:val="en-US" w:eastAsia="zh-CN"/>
        </w:rPr>
        <w:t>。</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shd w:val="clear" w:color="auto"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78" w:lineRule="exact"/>
        <w:ind w:left="0" w:leftChars="0" w:right="0" w:rightChars="0" w:firstLine="640" w:firstLineChars="200"/>
        <w:textAlignment w:val="auto"/>
        <w:outlineLvl w:val="9"/>
        <w:rPr>
          <w:rFonts w:hint="eastAsia" w:ascii="仿宋_GB2312" w:hAnsi="微软雅黑" w:eastAsia="仿宋_GB2312" w:cs="仿宋_GB2312"/>
          <w:b w:val="0"/>
          <w:bCs/>
          <w:color w:val="000000"/>
          <w:sz w:val="32"/>
          <w:szCs w:val="32"/>
          <w:shd w:val="clear" w:color="auto" w:fill="FFFFFF"/>
        </w:rPr>
      </w:pPr>
      <w:r>
        <w:rPr>
          <w:rFonts w:hint="eastAsia" w:ascii="楷体_GB2312" w:hAnsi="楷体_GB2312" w:eastAsia="楷体_GB2312" w:cs="楷体_GB2312"/>
          <w:b w:val="0"/>
          <w:bCs/>
          <w:color w:val="000000"/>
          <w:sz w:val="32"/>
          <w:szCs w:val="32"/>
          <w:shd w:val="clear" w:color="auto" w:fill="FFFFFF"/>
          <w:lang w:val="en-US" w:eastAsia="zh-CN"/>
        </w:rPr>
        <w:t>（一）收取信息处理费情况。</w:t>
      </w:r>
      <w:r>
        <w:rPr>
          <w:rFonts w:hint="eastAsia" w:ascii="仿宋_GB2312" w:hAnsi="微软雅黑" w:eastAsia="仿宋_GB2312" w:cs="仿宋_GB2312"/>
          <w:b w:val="0"/>
          <w:bCs/>
          <w:color w:val="000000"/>
          <w:sz w:val="32"/>
          <w:szCs w:val="32"/>
          <w:shd w:val="clear" w:color="auto" w:fill="FFFFFF"/>
          <w:lang w:val="en-US"/>
        </w:rPr>
        <w:t>20</w:t>
      </w:r>
      <w:r>
        <w:rPr>
          <w:rFonts w:hint="eastAsia" w:ascii="仿宋_GB2312" w:hAnsi="微软雅黑" w:eastAsia="仿宋_GB2312" w:cs="仿宋_GB2312"/>
          <w:b w:val="0"/>
          <w:bCs/>
          <w:color w:val="000000"/>
          <w:sz w:val="32"/>
          <w:szCs w:val="32"/>
          <w:shd w:val="clear" w:color="auto" w:fill="FFFFFF"/>
          <w:lang w:val="en-US" w:eastAsia="zh-CN"/>
        </w:rPr>
        <w:t>21</w:t>
      </w:r>
      <w:r>
        <w:rPr>
          <w:rFonts w:hint="eastAsia" w:ascii="仿宋_GB2312" w:hAnsi="微软雅黑" w:eastAsia="仿宋_GB2312" w:cs="仿宋_GB2312"/>
          <w:b w:val="0"/>
          <w:bCs/>
          <w:color w:val="000000"/>
          <w:sz w:val="32"/>
          <w:szCs w:val="32"/>
          <w:shd w:val="clear" w:color="auto" w:fill="FFFFFF"/>
        </w:rPr>
        <w:t>年，</w:t>
      </w:r>
      <w:r>
        <w:rPr>
          <w:rFonts w:hint="eastAsia" w:ascii="仿宋_GB2312" w:hAnsi="微软雅黑" w:eastAsia="仿宋_GB2312" w:cs="仿宋_GB2312"/>
          <w:b w:val="0"/>
          <w:bCs/>
          <w:color w:val="000000"/>
          <w:sz w:val="32"/>
          <w:szCs w:val="32"/>
          <w:shd w:val="clear" w:color="auto" w:fill="FFFFFF"/>
          <w:lang w:val="en-US" w:eastAsia="zh-CN"/>
        </w:rPr>
        <w:t>昌乐县行政审批服务局未收取任何政府信息公开信息处理费</w:t>
      </w:r>
      <w:r>
        <w:rPr>
          <w:rFonts w:hint="eastAsia" w:ascii="仿宋_GB2312" w:hAnsi="ˎ̥" w:eastAsia="仿宋_GB2312" w:cs="宋体"/>
          <w:b w:val="0"/>
          <w:bCs/>
          <w:kern w:val="0"/>
          <w:sz w:val="32"/>
          <w:szCs w:val="32"/>
          <w:lang w:val="en-US" w:eastAsia="zh-CN"/>
        </w:rPr>
        <w:t>。</w:t>
      </w:r>
    </w:p>
    <w:p>
      <w:pPr>
        <w:widowControl/>
        <w:spacing w:line="578" w:lineRule="exact"/>
        <w:ind w:firstLine="640" w:firstLineChars="200"/>
        <w:rPr>
          <w:rFonts w:hint="default" w:ascii="仿宋_GB2312" w:hAnsi="ˎ̥" w:eastAsia="仿宋_GB2312" w:cs="宋体"/>
          <w:bCs/>
          <w:kern w:val="0"/>
          <w:sz w:val="32"/>
          <w:szCs w:val="32"/>
          <w:lang w:val="en-US" w:eastAsia="zh-CN"/>
        </w:rPr>
      </w:pPr>
      <w:r>
        <w:rPr>
          <w:rFonts w:hint="eastAsia" w:ascii="楷体_GB2312" w:hAnsi="楷体_GB2312" w:eastAsia="楷体_GB2312" w:cs="楷体_GB2312"/>
          <w:b w:val="0"/>
          <w:bCs/>
          <w:color w:val="000000"/>
          <w:kern w:val="0"/>
          <w:sz w:val="32"/>
          <w:szCs w:val="32"/>
          <w:shd w:val="clear" w:color="auto" w:fill="FFFFFF"/>
          <w:lang w:val="en-US" w:eastAsia="zh-CN" w:bidi="ar-SA"/>
        </w:rPr>
        <w:t>（二</w:t>
      </w: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val="en-US" w:eastAsia="zh-CN"/>
        </w:rPr>
        <w:t>上级年度政务公开工作要点落实情况。</w:t>
      </w:r>
      <w:r>
        <w:rPr>
          <w:rFonts w:hint="eastAsia" w:ascii="仿宋_GB2312" w:hAnsi="仿宋_GB2312" w:eastAsia="仿宋_GB2312" w:cs="仿宋_GB2312"/>
          <w:bCs/>
          <w:sz w:val="32"/>
          <w:szCs w:val="32"/>
          <w:lang w:val="en-US" w:eastAsia="zh-CN"/>
        </w:rPr>
        <w:t>根据《2021年昌乐县政务公开重点工作任务分工》安排，</w:t>
      </w:r>
      <w:r>
        <w:rPr>
          <w:rFonts w:hint="eastAsia" w:ascii="仿宋_GB2312" w:hAnsi="ˎ̥" w:eastAsia="仿宋_GB2312" w:cs="宋体"/>
          <w:bCs/>
          <w:kern w:val="0"/>
          <w:sz w:val="32"/>
          <w:szCs w:val="32"/>
          <w:lang w:val="en-US" w:eastAsia="zh-CN"/>
        </w:rPr>
        <w:t>扎实推动政务公开机制建设，抓好政策文件公开及解读，及时公开相关审批结果、事项服务指南等。目前，昌乐县行政审批服务局涉及责任事项已全部落实到位。</w:t>
      </w:r>
    </w:p>
    <w:p>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ˎ̥" w:eastAsia="仿宋_GB2312" w:cs="宋体"/>
          <w:bCs/>
          <w:kern w:val="0"/>
          <w:sz w:val="32"/>
          <w:szCs w:val="32"/>
        </w:rPr>
      </w:pPr>
      <w:r>
        <w:rPr>
          <w:rFonts w:hint="eastAsia" w:ascii="楷体_GB2312" w:hAnsi="楷体_GB2312" w:eastAsia="楷体_GB2312" w:cs="楷体_GB2312"/>
          <w:b w:val="0"/>
          <w:bCs/>
          <w:color w:val="000000"/>
          <w:kern w:val="0"/>
          <w:sz w:val="32"/>
          <w:szCs w:val="32"/>
          <w:shd w:val="clear" w:color="auto" w:fill="FFFFFF"/>
          <w:lang w:val="en-US" w:eastAsia="zh-CN" w:bidi="ar-SA"/>
        </w:rPr>
        <w:t>（三）人大代表建议和政协提案办理情况。</w:t>
      </w:r>
      <w:r>
        <w:rPr>
          <w:rFonts w:hint="eastAsia" w:ascii="仿宋_GB2312" w:hAnsi="ˎ̥" w:eastAsia="仿宋_GB2312" w:cs="宋体"/>
          <w:bCs/>
          <w:kern w:val="0"/>
          <w:sz w:val="32"/>
          <w:szCs w:val="32"/>
        </w:rPr>
        <w:t>2021年，县行政审批服务局共办理人大建议、政协提案4件，其中主办人大代表建议3件、政协提案1件。目前均已办理完毕，建议人、提案人均表示满意，均已通过政府网</w:t>
      </w:r>
      <w:bookmarkStart w:id="0" w:name="_GoBack"/>
      <w:bookmarkEnd w:id="0"/>
      <w:r>
        <w:rPr>
          <w:rFonts w:hint="eastAsia" w:ascii="仿宋_GB2312" w:hAnsi="ˎ̥" w:eastAsia="仿宋_GB2312" w:cs="宋体"/>
          <w:bCs/>
          <w:kern w:val="0"/>
          <w:sz w:val="32"/>
          <w:szCs w:val="32"/>
        </w:rPr>
        <w:t>站进行了公开。</w:t>
      </w:r>
    </w:p>
    <w:p>
      <w:pPr>
        <w:spacing w:line="578" w:lineRule="exact"/>
        <w:ind w:firstLine="640" w:firstLineChars="200"/>
        <w:rPr>
          <w:rFonts w:hint="eastAsia" w:ascii="仿宋_GB2312" w:hAnsi="ˎ̥" w:eastAsia="仿宋_GB2312" w:cs="宋体"/>
          <w:bCs/>
          <w:color w:val="auto"/>
          <w:kern w:val="0"/>
          <w:sz w:val="32"/>
          <w:szCs w:val="32"/>
          <w:lang w:val="en-US" w:eastAsia="zh-CN"/>
        </w:rPr>
      </w:pPr>
      <w:r>
        <w:rPr>
          <w:rFonts w:hint="eastAsia" w:ascii="楷体_GB2312" w:hAnsi="楷体_GB2312" w:eastAsia="楷体_GB2312" w:cs="楷体_GB2312"/>
          <w:bCs/>
          <w:kern w:val="0"/>
          <w:sz w:val="32"/>
          <w:szCs w:val="32"/>
          <w:lang w:val="en-US" w:eastAsia="zh-CN"/>
        </w:rPr>
        <w:t>（四）年度政务公开工作创新情况。</w:t>
      </w:r>
      <w:r>
        <w:rPr>
          <w:rFonts w:hint="eastAsia" w:ascii="仿宋_GB2312" w:hAnsi="ˎ̥" w:eastAsia="仿宋_GB2312" w:cs="宋体"/>
          <w:bCs/>
          <w:color w:val="auto"/>
          <w:kern w:val="0"/>
          <w:sz w:val="32"/>
          <w:szCs w:val="32"/>
          <w:lang w:val="en-US" w:eastAsia="zh-CN"/>
        </w:rPr>
        <w:t>与县府办联合开展“政府开放月”——“走进政务服务中心 体验服务提质增效”活动，邀请16名市民代表走进县政务服务中心，“零距离”参观体验，“面对面”座谈交流，让代表们切身感受政务服务的改革成效。县行政审批服务局主要负责同志、分管负责同志、各业务科室负责人，县政府办公室相关负责同志参加活动。</w:t>
      </w:r>
    </w:p>
    <w:p>
      <w:pPr>
        <w:widowControl/>
        <w:spacing w:line="578" w:lineRule="exact"/>
        <w:ind w:firstLine="640" w:firstLineChars="200"/>
        <w:rPr>
          <w:rFonts w:hint="eastAsia" w:ascii="仿宋_GB2312" w:hAnsi="ˎ̥" w:eastAsia="仿宋_GB2312" w:cs="宋体"/>
          <w:bCs/>
          <w:kern w:val="0"/>
          <w:sz w:val="32"/>
          <w:szCs w:val="32"/>
          <w:lang w:val="en-US" w:eastAsia="zh-CN"/>
        </w:rPr>
      </w:pPr>
      <w:r>
        <w:rPr>
          <w:rFonts w:hint="eastAsia" w:ascii="楷体_GB2312" w:hAnsi="楷体_GB2312" w:eastAsia="楷体_GB2312" w:cs="楷体_GB2312"/>
          <w:bCs/>
          <w:kern w:val="0"/>
          <w:sz w:val="32"/>
          <w:szCs w:val="32"/>
          <w:lang w:val="en-US" w:eastAsia="zh-CN"/>
        </w:rPr>
        <w:t>（五）报告数据统计说明。</w:t>
      </w:r>
      <w:r>
        <w:rPr>
          <w:rFonts w:hint="eastAsia" w:ascii="仿宋_GB2312" w:hAnsi="ˎ̥" w:eastAsia="仿宋_GB2312" w:cs="宋体"/>
          <w:bCs/>
          <w:kern w:val="0"/>
          <w:sz w:val="32"/>
          <w:szCs w:val="32"/>
          <w:lang w:val="en-US" w:eastAsia="zh-CN"/>
        </w:rPr>
        <w:t>本报告所列数据统计期限为2021年1月1日至2021年12月31日。</w:t>
      </w:r>
    </w:p>
    <w:p>
      <w:pPr>
        <w:widowControl/>
        <w:spacing w:line="578" w:lineRule="exact"/>
        <w:ind w:firstLine="640" w:firstLineChars="200"/>
        <w:rPr>
          <w:rFonts w:hint="eastAsia" w:ascii="仿宋_GB2312" w:hAnsi="仿宋_GB2312" w:eastAsia="仿宋_GB2312" w:cs="仿宋_GB2312"/>
          <w:bCs/>
          <w:kern w:val="0"/>
          <w:sz w:val="32"/>
          <w:szCs w:val="32"/>
          <w:lang w:val="en-US" w:eastAsia="zh-CN"/>
        </w:rPr>
      </w:pPr>
      <w:r>
        <w:rPr>
          <w:rFonts w:hint="eastAsia" w:ascii="楷体_GB2312" w:hAnsi="楷体_GB2312" w:eastAsia="楷体_GB2312" w:cs="楷体_GB2312"/>
          <w:bCs/>
          <w:kern w:val="0"/>
          <w:sz w:val="32"/>
          <w:szCs w:val="32"/>
          <w:lang w:val="en-US" w:eastAsia="zh-CN"/>
        </w:rPr>
        <w:t>（六）本行政机关认为需要报告的其他事项。</w:t>
      </w:r>
      <w:r>
        <w:rPr>
          <w:rFonts w:hint="eastAsia" w:ascii="仿宋_GB2312" w:hAnsi="仿宋_GB2312" w:eastAsia="仿宋_GB2312" w:cs="仿宋_GB2312"/>
          <w:bCs/>
          <w:kern w:val="0"/>
          <w:sz w:val="32"/>
          <w:szCs w:val="32"/>
          <w:lang w:val="en-US" w:eastAsia="zh-CN"/>
        </w:rPr>
        <w:t>无。</w:t>
      </w:r>
    </w:p>
    <w:p>
      <w:pPr>
        <w:widowControl/>
        <w:spacing w:line="578" w:lineRule="exact"/>
        <w:ind w:firstLine="640" w:firstLineChars="200"/>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_GB2312" w:hAnsi="楷体_GB2312" w:eastAsia="楷体_GB2312" w:cs="楷体_GB2312"/>
          <w:bCs/>
          <w:kern w:val="0"/>
          <w:sz w:val="32"/>
          <w:szCs w:val="32"/>
          <w:lang w:val="en-US" w:eastAsia="zh-CN"/>
        </w:rPr>
        <w:t>（七）其他有关文件专门要求报告的事项。</w:t>
      </w:r>
      <w:r>
        <w:rPr>
          <w:rFonts w:hint="eastAsia" w:ascii="仿宋_GB2312" w:hAnsi="仿宋_GB2312" w:eastAsia="仿宋_GB2312" w:cs="仿宋_GB2312"/>
          <w:bCs/>
          <w:kern w:val="0"/>
          <w:sz w:val="32"/>
          <w:szCs w:val="32"/>
          <w:lang w:val="en-US" w:eastAsia="zh-CN"/>
        </w:rPr>
        <w:t>无。</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420"/>
        <w:jc w:val="right"/>
        <w:textAlignment w:val="auto"/>
        <w:outlineLvl w:val="9"/>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昌乐县行政审批服务局</w:t>
      </w:r>
    </w:p>
    <w:p>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78" w:lineRule="atLeast"/>
        <w:ind w:firstLine="420"/>
        <w:jc w:val="right"/>
        <w:textAlignment w:val="auto"/>
        <w:outlineLvl w:val="9"/>
        <w:rPr>
          <w:b w:val="0"/>
          <w:bCs w:val="0"/>
          <w:color w:val="auto"/>
        </w:rPr>
      </w:pPr>
      <w:r>
        <w:rPr>
          <w:rFonts w:hint="eastAsia" w:ascii="仿宋_GB2312" w:hAnsi="仿宋_GB2312" w:eastAsia="仿宋_GB2312" w:cs="仿宋_GB2312"/>
          <w:b w:val="0"/>
          <w:bCs w:val="0"/>
          <w:color w:val="auto"/>
          <w:sz w:val="32"/>
          <w:szCs w:val="32"/>
          <w:shd w:val="clear" w:color="auto" w:fill="FFFFFF"/>
          <w:lang w:val="en-US" w:eastAsia="zh-CN"/>
        </w:rPr>
        <w:t>2022年1月18日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文星标宋">
    <w:altName w:val="Arial Unicode MS"/>
    <w:panose1 w:val="02010604000101010101"/>
    <w:charset w:val="86"/>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105D4"/>
    <w:rsid w:val="00020C7B"/>
    <w:rsid w:val="000D1159"/>
    <w:rsid w:val="002C5B52"/>
    <w:rsid w:val="002F4DF1"/>
    <w:rsid w:val="003F475E"/>
    <w:rsid w:val="00476ACF"/>
    <w:rsid w:val="004E637E"/>
    <w:rsid w:val="0072111B"/>
    <w:rsid w:val="00725218"/>
    <w:rsid w:val="00901FD7"/>
    <w:rsid w:val="009130E4"/>
    <w:rsid w:val="009844C0"/>
    <w:rsid w:val="009C1CDE"/>
    <w:rsid w:val="00A872D9"/>
    <w:rsid w:val="00AD3CA8"/>
    <w:rsid w:val="00B121CD"/>
    <w:rsid w:val="00C0591A"/>
    <w:rsid w:val="00C26EFC"/>
    <w:rsid w:val="01062B8A"/>
    <w:rsid w:val="014D70F4"/>
    <w:rsid w:val="027B186F"/>
    <w:rsid w:val="08570A08"/>
    <w:rsid w:val="09D20193"/>
    <w:rsid w:val="0A762E91"/>
    <w:rsid w:val="0BAB698F"/>
    <w:rsid w:val="0BFA0D70"/>
    <w:rsid w:val="0DF0289C"/>
    <w:rsid w:val="11DC18C4"/>
    <w:rsid w:val="12EF418B"/>
    <w:rsid w:val="137608F0"/>
    <w:rsid w:val="13C44C6D"/>
    <w:rsid w:val="13FC3673"/>
    <w:rsid w:val="14AE3227"/>
    <w:rsid w:val="158B49B3"/>
    <w:rsid w:val="17856FCD"/>
    <w:rsid w:val="17BD5C5B"/>
    <w:rsid w:val="17F11DA8"/>
    <w:rsid w:val="17F45028"/>
    <w:rsid w:val="1B5763C6"/>
    <w:rsid w:val="1B7E316F"/>
    <w:rsid w:val="1D882867"/>
    <w:rsid w:val="1D9C3FDD"/>
    <w:rsid w:val="1DD737EE"/>
    <w:rsid w:val="1E021B0F"/>
    <w:rsid w:val="1E0728EF"/>
    <w:rsid w:val="1E27609A"/>
    <w:rsid w:val="1E8D23F0"/>
    <w:rsid w:val="1EA95AEB"/>
    <w:rsid w:val="203F66D7"/>
    <w:rsid w:val="204431AA"/>
    <w:rsid w:val="20C0340C"/>
    <w:rsid w:val="2387211A"/>
    <w:rsid w:val="246B6A3F"/>
    <w:rsid w:val="26300810"/>
    <w:rsid w:val="27E24F75"/>
    <w:rsid w:val="27E72880"/>
    <w:rsid w:val="286345FC"/>
    <w:rsid w:val="29053906"/>
    <w:rsid w:val="294645D2"/>
    <w:rsid w:val="29846D40"/>
    <w:rsid w:val="2AAE58D7"/>
    <w:rsid w:val="2B2D58D0"/>
    <w:rsid w:val="2BD51A91"/>
    <w:rsid w:val="2E223195"/>
    <w:rsid w:val="2E413321"/>
    <w:rsid w:val="2EDA6D5B"/>
    <w:rsid w:val="2F4A0020"/>
    <w:rsid w:val="307E3BB8"/>
    <w:rsid w:val="320622E1"/>
    <w:rsid w:val="321D00D7"/>
    <w:rsid w:val="32A834CB"/>
    <w:rsid w:val="33782BCD"/>
    <w:rsid w:val="339F5C86"/>
    <w:rsid w:val="33B550A4"/>
    <w:rsid w:val="34B32F5D"/>
    <w:rsid w:val="36F27C2A"/>
    <w:rsid w:val="37464714"/>
    <w:rsid w:val="39E84962"/>
    <w:rsid w:val="3B844B5E"/>
    <w:rsid w:val="3BBC1BB7"/>
    <w:rsid w:val="3D462800"/>
    <w:rsid w:val="3D7C6112"/>
    <w:rsid w:val="3DF338D5"/>
    <w:rsid w:val="3E774C01"/>
    <w:rsid w:val="3EE6660C"/>
    <w:rsid w:val="40066E40"/>
    <w:rsid w:val="40310832"/>
    <w:rsid w:val="40CF543F"/>
    <w:rsid w:val="41562AF9"/>
    <w:rsid w:val="420D1F8B"/>
    <w:rsid w:val="423B16D9"/>
    <w:rsid w:val="423F17DF"/>
    <w:rsid w:val="42693067"/>
    <w:rsid w:val="433B7F45"/>
    <w:rsid w:val="437C12A2"/>
    <w:rsid w:val="43D670A6"/>
    <w:rsid w:val="45246A6A"/>
    <w:rsid w:val="45435142"/>
    <w:rsid w:val="45D54696"/>
    <w:rsid w:val="464E3D9E"/>
    <w:rsid w:val="467B281D"/>
    <w:rsid w:val="47B2035D"/>
    <w:rsid w:val="48842A7C"/>
    <w:rsid w:val="488A3088"/>
    <w:rsid w:val="49CA5E32"/>
    <w:rsid w:val="4B24395B"/>
    <w:rsid w:val="4B5B4E98"/>
    <w:rsid w:val="4BE11211"/>
    <w:rsid w:val="4C0608D4"/>
    <w:rsid w:val="4C0B2177"/>
    <w:rsid w:val="4C1A4723"/>
    <w:rsid w:val="4D2F291B"/>
    <w:rsid w:val="4D4563C6"/>
    <w:rsid w:val="4DAA3D3D"/>
    <w:rsid w:val="50141FA4"/>
    <w:rsid w:val="51001C9E"/>
    <w:rsid w:val="51891E31"/>
    <w:rsid w:val="51DA7BFD"/>
    <w:rsid w:val="52995FF8"/>
    <w:rsid w:val="53271576"/>
    <w:rsid w:val="53553894"/>
    <w:rsid w:val="53702835"/>
    <w:rsid w:val="540463E4"/>
    <w:rsid w:val="54BB2689"/>
    <w:rsid w:val="56015F00"/>
    <w:rsid w:val="57B872DA"/>
    <w:rsid w:val="59E6430E"/>
    <w:rsid w:val="5B90055D"/>
    <w:rsid w:val="5BFC5AF3"/>
    <w:rsid w:val="5C4762E1"/>
    <w:rsid w:val="5C593045"/>
    <w:rsid w:val="5C7B7A1F"/>
    <w:rsid w:val="5CF906A3"/>
    <w:rsid w:val="5D1F3003"/>
    <w:rsid w:val="5D4E247E"/>
    <w:rsid w:val="5DD73EFD"/>
    <w:rsid w:val="602624D9"/>
    <w:rsid w:val="60436F72"/>
    <w:rsid w:val="607D5554"/>
    <w:rsid w:val="608C0C1C"/>
    <w:rsid w:val="623812E3"/>
    <w:rsid w:val="626C5880"/>
    <w:rsid w:val="63A4104A"/>
    <w:rsid w:val="64350E1C"/>
    <w:rsid w:val="6449557A"/>
    <w:rsid w:val="666B4783"/>
    <w:rsid w:val="671604B0"/>
    <w:rsid w:val="697370DF"/>
    <w:rsid w:val="69F30635"/>
    <w:rsid w:val="6A7C687C"/>
    <w:rsid w:val="6B5E5F82"/>
    <w:rsid w:val="6B981494"/>
    <w:rsid w:val="6BC8641A"/>
    <w:rsid w:val="6BFF77D2"/>
    <w:rsid w:val="6D5E4882"/>
    <w:rsid w:val="6FFE5F86"/>
    <w:rsid w:val="70BB0738"/>
    <w:rsid w:val="744228E5"/>
    <w:rsid w:val="75DF4163"/>
    <w:rsid w:val="772B40B6"/>
    <w:rsid w:val="780B1240"/>
    <w:rsid w:val="79C36276"/>
    <w:rsid w:val="79C43D9C"/>
    <w:rsid w:val="7A3B22B0"/>
    <w:rsid w:val="7AF81F4F"/>
    <w:rsid w:val="7B4105D4"/>
    <w:rsid w:val="7B826E26"/>
    <w:rsid w:val="7BA75FFF"/>
    <w:rsid w:val="7BE557C8"/>
    <w:rsid w:val="7DAA32A9"/>
    <w:rsid w:val="7DD86068"/>
    <w:rsid w:val="7F743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FollowedHyperlink"/>
    <w:basedOn w:val="6"/>
    <w:qFormat/>
    <w:uiPriority w:val="0"/>
    <w:rPr>
      <w:rFonts w:hint="eastAsia" w:ascii="微软雅黑" w:hAnsi="微软雅黑" w:eastAsia="微软雅黑" w:cs="微软雅黑"/>
      <w:color w:val="000000"/>
      <w:sz w:val="21"/>
      <w:szCs w:val="21"/>
      <w:u w:val="none"/>
    </w:rPr>
  </w:style>
  <w:style w:type="character" w:styleId="8">
    <w:name w:val="Hyperlink"/>
    <w:basedOn w:val="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317</Words>
  <Characters>1809</Characters>
  <Lines>15</Lines>
  <Paragraphs>4</Paragraphs>
  <TotalTime>10</TotalTime>
  <ScaleCrop>false</ScaleCrop>
  <LinksUpToDate>false</LinksUpToDate>
  <CharactersWithSpaces>2122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2020-01-16T01:11:00Z</dcterms:created>
  <dc:creator>January</dc:creator>
  <cp:lastModifiedBy>dell</cp:lastModifiedBy>
  <cp:lastPrinted>2020-01-09T01:49:00Z</cp:lastPrinted>
  <dcterms:modified xsi:type="dcterms:W3CDTF">2022-03-01T07:48:48Z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8F9EC2B2C5EB40859046F1AC12250B6D</vt:lpwstr>
  </property>
</Properties>
</file>