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shd w:val="clear" w:color="auto" w:fill="FFFFFF"/>
        <w:spacing w:beforeAutospacing="0" w:afterAutospacing="0" w:line="600" w:lineRule="exact"/>
        <w:jc w:val="center"/>
        <w:rPr>
          <w:rFonts w:hint="eastAsia" w:ascii="方正小标宋简体" w:hAnsi="方正小标宋简体" w:eastAsia="方正小标宋简体" w:cs="方正小标宋简体"/>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昌乐县住房和城乡建设局</w:t>
      </w:r>
    </w:p>
    <w:p>
      <w:pPr>
        <w:pStyle w:val="6"/>
        <w:widowControl/>
        <w:shd w:val="clear" w:color="auto" w:fill="FFFFFF"/>
        <w:spacing w:beforeAutospacing="0" w:afterAutospacing="0" w:line="600" w:lineRule="exact"/>
        <w:jc w:val="center"/>
        <w:rPr>
          <w:rFonts w:ascii="宋体" w:hAnsi="宋体" w:cs="宋体"/>
          <w:color w:val="333333"/>
        </w:rPr>
      </w:pPr>
      <w:r>
        <w:rPr>
          <w:rFonts w:hint="eastAsia" w:ascii="方正小标宋简体" w:hAnsi="方正小标宋简体" w:eastAsia="方正小标宋简体" w:cs="方正小标宋简体"/>
          <w:color w:val="333333"/>
          <w:sz w:val="44"/>
          <w:szCs w:val="44"/>
          <w:shd w:val="clear" w:color="auto" w:fill="FFFFFF"/>
        </w:rPr>
        <w:t>2021年政府信息公开工作年度报告</w:t>
      </w:r>
    </w:p>
    <w:p>
      <w:pPr>
        <w:pStyle w:val="6"/>
        <w:widowControl/>
        <w:shd w:val="clear" w:color="auto" w:fill="FFFFFF"/>
        <w:spacing w:beforeAutospacing="0" w:afterAutospacing="0"/>
        <w:ind w:firstLine="420"/>
        <w:jc w:val="both"/>
        <w:rPr>
          <w:rFonts w:ascii="宋体" w:hAnsi="宋体" w:cs="宋体"/>
          <w:color w:val="333333"/>
        </w:rPr>
      </w:pPr>
    </w:p>
    <w:p>
      <w:pPr>
        <w:widowControl/>
        <w:spacing w:line="60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根据《中华人民共和国政府信息公开条例》及县政府办公室关于政府信息公开的工作要求，结合县住建局工作实际，编制并向社会公布昌乐县住房和城乡建设局2021年政府信息公开工作年度报告。本年度报告中所列数据统计期限自2021年1月1日起，至2021年12月31日止。如对本报告有疑问，请联系昌乐县住房和城乡建设局办公室，联系电话：0536-6221387。</w:t>
      </w:r>
    </w:p>
    <w:p>
      <w:pPr>
        <w:pStyle w:val="6"/>
        <w:widowControl/>
        <w:shd w:val="clear" w:color="auto" w:fill="FFFFFF"/>
        <w:spacing w:beforeAutospacing="0" w:afterAutospacing="0"/>
        <w:ind w:firstLine="640"/>
        <w:jc w:val="both"/>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一、总体情况</w:t>
      </w:r>
    </w:p>
    <w:p>
      <w:pPr>
        <w:widowControl/>
        <w:spacing w:line="60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2021年，县住建局认真贯彻落实《中华人民共和国政府信息公开条例》相关规定，立足住建工作实际，健全组织机构，认真开展政府信息公开工作，保障了政府信息公开工作依法、及时、准确、有序地开展。</w:t>
      </w:r>
    </w:p>
    <w:p>
      <w:pPr>
        <w:widowControl/>
        <w:spacing w:line="600" w:lineRule="exact"/>
        <w:ind w:firstLine="643" w:firstLineChars="200"/>
        <w:rPr>
          <w:rFonts w:ascii="仿宋_GB2312" w:hAnsi="宋体" w:eastAsia="仿宋_GB2312"/>
          <w:kern w:val="0"/>
          <w:sz w:val="32"/>
          <w:szCs w:val="32"/>
        </w:rPr>
      </w:pPr>
      <w:r>
        <w:rPr>
          <w:rFonts w:hint="eastAsia" w:ascii="楷体_GB2312" w:hAnsi="宋体" w:eastAsia="楷体_GB2312"/>
          <w:b/>
          <w:kern w:val="0"/>
          <w:sz w:val="32"/>
          <w:szCs w:val="32"/>
        </w:rPr>
        <w:t>（一）主动公开情况。</w:t>
      </w:r>
      <w:r>
        <w:rPr>
          <w:rFonts w:hint="eastAsia" w:ascii="仿宋_GB2312" w:hAnsi="宋体" w:eastAsia="仿宋_GB2312"/>
          <w:kern w:val="0"/>
          <w:sz w:val="32"/>
          <w:szCs w:val="32"/>
        </w:rPr>
        <w:t>在中国·昌乐门户网站昌乐县住房和城乡建设局专栏公布部门工作动态，对机构职能、组织管理、政策文件、政策解读、规划计划、工作信息、建议提案、重大项目批准和实施等信息进行了公开，2021年共公开政务信息149条。</w:t>
      </w:r>
    </w:p>
    <w:p>
      <w:pPr>
        <w:widowControl/>
        <w:jc w:val="center"/>
        <w:rPr>
          <w:rFonts w:ascii="仿宋_GB2312" w:hAnsi="宋体" w:eastAsia="仿宋_GB2312"/>
          <w:kern w:val="0"/>
          <w:sz w:val="32"/>
          <w:szCs w:val="32"/>
        </w:rPr>
      </w:pPr>
      <w:r>
        <w:rPr>
          <w:rFonts w:ascii="仿宋_GB2312" w:hAnsi="宋体" w:eastAsia="仿宋_GB2312"/>
          <w:kern w:val="0"/>
          <w:sz w:val="32"/>
          <w:szCs w:val="32"/>
        </w:rPr>
        <w:drawing>
          <wp:inline distT="0" distB="0" distL="0" distR="0">
            <wp:extent cx="5759450" cy="3482340"/>
            <wp:effectExtent l="0" t="0" r="0" b="0"/>
            <wp:docPr id="1026" name="图片 4" descr="C:\Users\Administrator\Desktop\1642511223(1).png"/>
            <wp:cNvGraphicFramePr/>
            <a:graphic xmlns:a="http://schemas.openxmlformats.org/drawingml/2006/main">
              <a:graphicData uri="http://schemas.openxmlformats.org/drawingml/2006/picture">
                <pic:pic xmlns:pic="http://schemas.openxmlformats.org/drawingml/2006/picture">
                  <pic:nvPicPr>
                    <pic:cNvPr id="1026" name="图片 4" descr="C:\Users\Administrator\Desktop\1642511223(1).png"/>
                    <pic:cNvPicPr/>
                  </pic:nvPicPr>
                  <pic:blipFill>
                    <a:blip r:embed="rId5" cstate="print"/>
                    <a:srcRect/>
                    <a:stretch>
                      <a:fillRect/>
                    </a:stretch>
                  </pic:blipFill>
                  <pic:spPr>
                    <a:xfrm>
                      <a:off x="0" y="0"/>
                      <a:ext cx="5759450" cy="3482458"/>
                    </a:xfrm>
                    <a:prstGeom prst="rect">
                      <a:avLst/>
                    </a:prstGeom>
                    <a:ln>
                      <a:noFill/>
                    </a:ln>
                  </pic:spPr>
                </pic:pic>
              </a:graphicData>
            </a:graphic>
          </wp:inline>
        </w:drawing>
      </w:r>
    </w:p>
    <w:p>
      <w:pPr>
        <w:widowControl/>
        <w:spacing w:line="600" w:lineRule="exact"/>
        <w:ind w:firstLine="643" w:firstLineChars="200"/>
        <w:rPr>
          <w:rFonts w:ascii="仿宋_GB2312" w:hAnsi="宋体" w:eastAsia="仿宋_GB2312"/>
          <w:kern w:val="0"/>
          <w:sz w:val="32"/>
          <w:szCs w:val="32"/>
        </w:rPr>
      </w:pPr>
      <w:r>
        <w:rPr>
          <w:rFonts w:hint="eastAsia" w:ascii="楷体_GB2312" w:hAnsi="宋体" w:eastAsia="楷体_GB2312"/>
          <w:b/>
          <w:kern w:val="0"/>
          <w:sz w:val="32"/>
          <w:szCs w:val="32"/>
        </w:rPr>
        <w:t>（二）依申请公开情况。</w:t>
      </w:r>
      <w:r>
        <w:rPr>
          <w:rFonts w:hint="eastAsia" w:ascii="仿宋_GB2312" w:hAnsi="宋体" w:eastAsia="仿宋_GB2312"/>
          <w:kern w:val="0"/>
          <w:sz w:val="32"/>
          <w:szCs w:val="32"/>
        </w:rPr>
        <w:t>2021年，我局共受理信息公开申请2件，其中，1件为网上申请，1件为邮寄形式申请，我局均依法依规按时予以答复。</w:t>
      </w:r>
    </w:p>
    <w:p>
      <w:pPr>
        <w:widowControl/>
        <w:spacing w:line="600" w:lineRule="exact"/>
        <w:ind w:firstLine="643" w:firstLineChars="200"/>
        <w:rPr>
          <w:rFonts w:ascii="仿宋_GB2312" w:hAnsi="宋体" w:eastAsia="仿宋_GB2312"/>
          <w:kern w:val="0"/>
          <w:sz w:val="32"/>
          <w:szCs w:val="32"/>
        </w:rPr>
      </w:pPr>
      <w:r>
        <w:rPr>
          <w:rFonts w:hint="eastAsia" w:ascii="楷体_GB2312" w:hAnsi="宋体" w:eastAsia="楷体_GB2312"/>
          <w:b/>
          <w:kern w:val="0"/>
          <w:sz w:val="32"/>
          <w:szCs w:val="32"/>
        </w:rPr>
        <w:t>（三）政府信息管理情况。</w:t>
      </w:r>
      <w:r>
        <w:rPr>
          <w:rFonts w:hint="eastAsia" w:ascii="仿宋_GB2312" w:hAnsi="宋体" w:eastAsia="仿宋_GB2312"/>
          <w:kern w:val="0"/>
          <w:sz w:val="32"/>
          <w:szCs w:val="32"/>
        </w:rPr>
        <w:t>建立健全政府信息公开制度，进一步完善政务信息公开审查机制，实施局主要负责人、分管负责人和科室负责人三级审查制度，由局办公室专人负责管理，按照保密管理有关规定，做到应公开、尽公开，实现公开为常态，不公开为例外。</w:t>
      </w:r>
    </w:p>
    <w:p>
      <w:pPr>
        <w:widowControl/>
        <w:spacing w:line="600" w:lineRule="exact"/>
        <w:ind w:firstLine="643" w:firstLineChars="200"/>
        <w:rPr>
          <w:rFonts w:ascii="仿宋_GB2312" w:hAnsi="宋体" w:eastAsia="仿宋_GB2312"/>
          <w:kern w:val="0"/>
          <w:sz w:val="32"/>
          <w:szCs w:val="32"/>
        </w:rPr>
      </w:pPr>
      <w:r>
        <w:rPr>
          <w:rFonts w:hint="eastAsia" w:ascii="楷体_GB2312" w:hAnsi="宋体" w:eastAsia="楷体_GB2312"/>
          <w:b/>
          <w:kern w:val="0"/>
          <w:sz w:val="32"/>
          <w:szCs w:val="32"/>
        </w:rPr>
        <w:t>（四）政府信息公开平台建设情况。</w:t>
      </w:r>
      <w:r>
        <w:rPr>
          <w:rFonts w:hint="eastAsia" w:ascii="仿宋_GB2312" w:hAnsi="宋体" w:eastAsia="仿宋_GB2312"/>
          <w:kern w:val="0"/>
          <w:sz w:val="32"/>
          <w:szCs w:val="32"/>
        </w:rPr>
        <w:t>我局积极完善“昌乐县住建局”微信公众号，开通全民城管随手拍互动功能，畅通信息沟通渠道，由局办公室专人管理，通过微信公众平台及时发布我局工作动态信息，2021年累计发布信息86条。</w:t>
      </w:r>
    </w:p>
    <w:p>
      <w:pPr>
        <w:widowControl/>
        <w:jc w:val="center"/>
        <w:rPr>
          <w:rFonts w:ascii="仿宋_GB2312" w:hAnsi="宋体" w:eastAsia="仿宋_GB2312"/>
          <w:kern w:val="0"/>
          <w:sz w:val="32"/>
          <w:szCs w:val="32"/>
        </w:rPr>
      </w:pPr>
      <w:r>
        <w:rPr>
          <w:rFonts w:ascii="仿宋_GB2312" w:hAnsi="宋体" w:eastAsia="仿宋_GB2312"/>
          <w:kern w:val="0"/>
          <w:sz w:val="32"/>
          <w:szCs w:val="32"/>
        </w:rPr>
        <w:drawing>
          <wp:inline distT="0" distB="0" distL="0" distR="0">
            <wp:extent cx="2208530" cy="4540250"/>
            <wp:effectExtent l="0" t="0" r="0" b="0"/>
            <wp:docPr id="1027" name="图片 3" descr="C:\Users\Administrator\Desktop\政务公开.jpg"/>
            <wp:cNvGraphicFramePr/>
            <a:graphic xmlns:a="http://schemas.openxmlformats.org/drawingml/2006/main">
              <a:graphicData uri="http://schemas.openxmlformats.org/drawingml/2006/picture">
                <pic:pic xmlns:pic="http://schemas.openxmlformats.org/drawingml/2006/picture">
                  <pic:nvPicPr>
                    <pic:cNvPr id="1027" name="图片 3" descr="C:\Users\Administrator\Desktop\政务公开.jpg"/>
                    <pic:cNvPicPr/>
                  </pic:nvPicPr>
                  <pic:blipFill>
                    <a:blip r:embed="rId6" cstate="print"/>
                    <a:srcRect/>
                    <a:stretch>
                      <a:fillRect/>
                    </a:stretch>
                  </pic:blipFill>
                  <pic:spPr>
                    <a:xfrm>
                      <a:off x="0" y="0"/>
                      <a:ext cx="2208770" cy="4540250"/>
                    </a:xfrm>
                    <a:prstGeom prst="rect">
                      <a:avLst/>
                    </a:prstGeom>
                    <a:ln>
                      <a:noFill/>
                    </a:ln>
                  </pic:spPr>
                </pic:pic>
              </a:graphicData>
            </a:graphic>
          </wp:inline>
        </w:drawing>
      </w:r>
    </w:p>
    <w:p>
      <w:pPr>
        <w:widowControl/>
        <w:spacing w:line="600" w:lineRule="exact"/>
        <w:ind w:firstLine="643" w:firstLineChars="200"/>
        <w:rPr>
          <w:rFonts w:ascii="仿宋_GB2312" w:hAnsi="宋体" w:eastAsia="仿宋_GB2312"/>
          <w:kern w:val="0"/>
          <w:sz w:val="32"/>
          <w:szCs w:val="32"/>
        </w:rPr>
      </w:pPr>
      <w:r>
        <w:rPr>
          <w:rFonts w:hint="eastAsia" w:ascii="楷体_GB2312" w:hAnsi="宋体" w:eastAsia="楷体_GB2312"/>
          <w:b/>
          <w:kern w:val="0"/>
          <w:sz w:val="32"/>
          <w:szCs w:val="32"/>
        </w:rPr>
        <w:t>（五）监督保障情况。</w:t>
      </w:r>
      <w:r>
        <w:rPr>
          <w:rFonts w:hint="eastAsia" w:ascii="仿宋_GB2312" w:hAnsi="宋体" w:eastAsia="仿宋_GB2312"/>
          <w:kern w:val="0"/>
          <w:sz w:val="32"/>
          <w:szCs w:val="32"/>
        </w:rPr>
        <w:t>成立县住建局政务公开领导小组，明确职责分工，落实专人负责政务公开工作，根据职务调整情况，重新确定分管负责人，全面负责做好局机关政务信息公开管理工作，办公室为信息公开工作机构，安排2名同志具体负责，局各科室单位明确1名政务公开信息联络员，及时报送政务公开信息内容，同时业务培训，规范各项操作流程，不断提高政府信息公开工作的质量和水平。同时建立政务公开常效管理机制，强化监督，进一步规范各项流程操作，确保公开到位，保障政务公开工作扎实有效地推进。</w:t>
      </w:r>
    </w:p>
    <w:p>
      <w:pPr>
        <w:pStyle w:val="6"/>
        <w:widowControl/>
        <w:shd w:val="clear" w:color="auto" w:fill="FFFFFF"/>
        <w:spacing w:beforeAutospacing="0" w:after="240" w:afterAutospacing="0"/>
        <w:ind w:firstLine="640"/>
        <w:jc w:val="both"/>
        <w:rPr>
          <w:rFonts w:ascii="黑体" w:hAnsi="黑体" w:eastAsia="黑体" w:cs="黑体"/>
          <w:color w:val="333333"/>
          <w:sz w:val="32"/>
          <w:szCs w:val="32"/>
        </w:rPr>
      </w:pPr>
      <w:r>
        <w:rPr>
          <w:rFonts w:hint="eastAsia" w:ascii="黑体" w:hAnsi="黑体" w:eastAsia="黑体" w:cs="黑体"/>
          <w:color w:val="333333"/>
          <w:sz w:val="32"/>
          <w:szCs w:val="32"/>
          <w:shd w:val="clear" w:color="auto" w:fill="FFFFFF"/>
        </w:rPr>
        <w:t>二、主动公开政府信息情况</w:t>
      </w:r>
    </w:p>
    <w:tbl>
      <w:tblPr>
        <w:tblStyle w:val="7"/>
        <w:tblW w:w="8708" w:type="dxa"/>
        <w:jc w:val="center"/>
        <w:shd w:val="clear" w:color="auto" w:fill="FFFFFF"/>
        <w:tblLayout w:type="fixed"/>
        <w:tblCellMar>
          <w:top w:w="0" w:type="dxa"/>
          <w:left w:w="0" w:type="dxa"/>
          <w:bottom w:w="0" w:type="dxa"/>
          <w:right w:w="0" w:type="dxa"/>
        </w:tblCellMar>
      </w:tblPr>
      <w:tblGrid>
        <w:gridCol w:w="3073"/>
        <w:gridCol w:w="1991"/>
        <w:gridCol w:w="1701"/>
        <w:gridCol w:w="1943"/>
      </w:tblGrid>
      <w:tr>
        <w:tblPrEx>
          <w:shd w:val="clear" w:color="auto" w:fill="FFFFFF"/>
          <w:tblCellMar>
            <w:top w:w="0" w:type="dxa"/>
            <w:left w:w="0" w:type="dxa"/>
            <w:bottom w:w="0" w:type="dxa"/>
            <w:right w:w="0" w:type="dxa"/>
          </w:tblCellMar>
        </w:tblPrEx>
        <w:trPr>
          <w:trHeight w:val="594" w:hRule="atLeast"/>
          <w:jc w:val="center"/>
        </w:trPr>
        <w:tc>
          <w:tcPr>
            <w:tcW w:w="8708"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sz w:val="24"/>
              </w:rPr>
            </w:pPr>
            <w:r>
              <w:rPr>
                <w:rFonts w:hint="eastAsia" w:ascii="宋体" w:hAnsi="宋体"/>
                <w:color w:val="000000"/>
                <w:kern w:val="0"/>
                <w:sz w:val="24"/>
              </w:rPr>
              <w:t>第二十条第（一）项</w:t>
            </w:r>
          </w:p>
        </w:tc>
      </w:tr>
      <w:tr>
        <w:tblPrEx>
          <w:shd w:val="clear" w:color="auto" w:fill="FFFFFF"/>
          <w:tblCellMar>
            <w:top w:w="0" w:type="dxa"/>
            <w:left w:w="0" w:type="dxa"/>
            <w:bottom w:w="0" w:type="dxa"/>
            <w:right w:w="0" w:type="dxa"/>
          </w:tblCellMar>
        </w:tblPrEx>
        <w:trPr>
          <w:trHeight w:val="866"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信息内容</w:t>
            </w:r>
          </w:p>
        </w:tc>
        <w:tc>
          <w:tcPr>
            <w:tcW w:w="199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本年制发件数</w:t>
            </w:r>
          </w:p>
        </w:tc>
        <w:tc>
          <w:tcPr>
            <w:tcW w:w="1701" w:type="dxa"/>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本年废止件数</w:t>
            </w:r>
          </w:p>
        </w:tc>
        <w:tc>
          <w:tcPr>
            <w:tcW w:w="1943"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现行有效件数</w:t>
            </w:r>
          </w:p>
        </w:tc>
      </w:tr>
      <w:tr>
        <w:tblPrEx>
          <w:shd w:val="clear" w:color="auto" w:fill="FFFFFF"/>
          <w:tblCellMar>
            <w:top w:w="0" w:type="dxa"/>
            <w:left w:w="0" w:type="dxa"/>
            <w:bottom w:w="0" w:type="dxa"/>
            <w:right w:w="0" w:type="dxa"/>
          </w:tblCellMar>
        </w:tblPrEx>
        <w:trPr>
          <w:trHeight w:val="399"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规章</w:t>
            </w:r>
          </w:p>
        </w:tc>
        <w:tc>
          <w:tcPr>
            <w:tcW w:w="1991"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0</w:t>
            </w:r>
          </w:p>
        </w:tc>
        <w:tc>
          <w:tcPr>
            <w:tcW w:w="1701"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0</w:t>
            </w:r>
          </w:p>
        </w:tc>
        <w:tc>
          <w:tcPr>
            <w:tcW w:w="1943"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0</w:t>
            </w:r>
          </w:p>
        </w:tc>
      </w:tr>
      <w:tr>
        <w:tblPrEx>
          <w:shd w:val="clear" w:color="auto" w:fill="FFFFFF"/>
          <w:tblCellMar>
            <w:top w:w="0" w:type="dxa"/>
            <w:left w:w="0" w:type="dxa"/>
            <w:bottom w:w="0" w:type="dxa"/>
            <w:right w:w="0" w:type="dxa"/>
          </w:tblCellMar>
        </w:tblPrEx>
        <w:trPr>
          <w:trHeight w:val="404"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规范性文件</w:t>
            </w:r>
          </w:p>
        </w:tc>
        <w:tc>
          <w:tcPr>
            <w:tcW w:w="1991"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0</w:t>
            </w:r>
          </w:p>
        </w:tc>
        <w:tc>
          <w:tcPr>
            <w:tcW w:w="1701"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0</w:t>
            </w:r>
          </w:p>
        </w:tc>
        <w:tc>
          <w:tcPr>
            <w:tcW w:w="1943" w:type="dxa"/>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0</w:t>
            </w:r>
          </w:p>
        </w:tc>
      </w:tr>
      <w:tr>
        <w:tblPrEx>
          <w:shd w:val="clear" w:color="auto" w:fill="FFFFFF"/>
          <w:tblCellMar>
            <w:top w:w="0" w:type="dxa"/>
            <w:left w:w="0" w:type="dxa"/>
            <w:bottom w:w="0" w:type="dxa"/>
            <w:right w:w="0" w:type="dxa"/>
          </w:tblCellMar>
        </w:tblPrEx>
        <w:trPr>
          <w:trHeight w:val="480"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5"/>
              <w:rPr>
                <w:kern w:val="0"/>
              </w:rPr>
            </w:pPr>
            <w:r>
              <w:rPr>
                <w:rFonts w:hint="eastAsia" w:ascii="宋体" w:hAnsi="宋体"/>
                <w:b w:val="0"/>
                <w:bCs w:val="0"/>
                <w:color w:val="000000"/>
                <w:kern w:val="0"/>
                <w:sz w:val="24"/>
                <w:szCs w:val="24"/>
              </w:rPr>
              <w:t>第二十条第（五）项</w:t>
            </w:r>
          </w:p>
        </w:tc>
      </w:tr>
      <w:tr>
        <w:tblPrEx>
          <w:shd w:val="clear" w:color="auto" w:fill="FFFFFF"/>
          <w:tblCellMar>
            <w:top w:w="0" w:type="dxa"/>
            <w:left w:w="0" w:type="dxa"/>
            <w:bottom w:w="0" w:type="dxa"/>
            <w:right w:w="0" w:type="dxa"/>
          </w:tblCellMar>
        </w:tblPrEx>
        <w:trPr>
          <w:trHeight w:val="516"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本年处理决定数量</w:t>
            </w:r>
          </w:p>
        </w:tc>
      </w:tr>
      <w:tr>
        <w:tblPrEx>
          <w:tblCellMar>
            <w:top w:w="0" w:type="dxa"/>
            <w:left w:w="0" w:type="dxa"/>
            <w:bottom w:w="0" w:type="dxa"/>
            <w:right w:w="0" w:type="dxa"/>
          </w:tblCellMar>
        </w:tblPrEx>
        <w:trPr>
          <w:trHeight w:val="455"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行政许可</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kern w:val="0"/>
                <w:sz w:val="24"/>
              </w:rPr>
            </w:pPr>
            <w:r>
              <w:rPr>
                <w:rFonts w:hint="eastAsia" w:ascii="宋体" w:hAnsi="宋体"/>
                <w:kern w:val="0"/>
                <w:sz w:val="24"/>
              </w:rPr>
              <w:t>201</w:t>
            </w:r>
          </w:p>
        </w:tc>
      </w:tr>
      <w:tr>
        <w:tblPrEx>
          <w:tblCellMar>
            <w:top w:w="0" w:type="dxa"/>
            <w:left w:w="0" w:type="dxa"/>
            <w:bottom w:w="0" w:type="dxa"/>
            <w:right w:w="0" w:type="dxa"/>
          </w:tblCellMar>
        </w:tblPrEx>
        <w:trPr>
          <w:trHeight w:val="497"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kern w:val="0"/>
                <w:sz w:val="24"/>
              </w:rPr>
            </w:pPr>
            <w:r>
              <w:rPr>
                <w:rFonts w:hint="eastAsia" w:ascii="宋体" w:hAnsi="宋体"/>
                <w:color w:val="000000"/>
                <w:kern w:val="0"/>
                <w:sz w:val="24"/>
              </w:rPr>
              <w:t>第二十条第（六）项</w:t>
            </w:r>
          </w:p>
        </w:tc>
      </w:tr>
      <w:tr>
        <w:tblPrEx>
          <w:tblCellMar>
            <w:top w:w="0" w:type="dxa"/>
            <w:left w:w="0" w:type="dxa"/>
            <w:bottom w:w="0" w:type="dxa"/>
            <w:right w:w="0" w:type="dxa"/>
          </w:tblCellMar>
        </w:tblPrEx>
        <w:trPr>
          <w:trHeight w:val="547"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信息内容</w:t>
            </w:r>
          </w:p>
        </w:tc>
        <w:tc>
          <w:tcPr>
            <w:tcW w:w="5635" w:type="dxa"/>
            <w:gridSpan w:val="3"/>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kern w:val="0"/>
                <w:sz w:val="24"/>
              </w:rPr>
            </w:pPr>
            <w:r>
              <w:rPr>
                <w:rFonts w:hint="eastAsia" w:ascii="宋体" w:hAnsi="宋体"/>
                <w:kern w:val="0"/>
                <w:sz w:val="24"/>
              </w:rPr>
              <w:t>本年处理决定数量</w:t>
            </w:r>
          </w:p>
        </w:tc>
      </w:tr>
      <w:tr>
        <w:tblPrEx>
          <w:tblCellMar>
            <w:top w:w="0" w:type="dxa"/>
            <w:left w:w="0" w:type="dxa"/>
            <w:bottom w:w="0" w:type="dxa"/>
            <w:right w:w="0" w:type="dxa"/>
          </w:tblCellMar>
        </w:tblPrEx>
        <w:trPr>
          <w:trHeight w:val="430"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行政处罚</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kern w:val="0"/>
                <w:sz w:val="24"/>
              </w:rPr>
            </w:pPr>
            <w:r>
              <w:rPr>
                <w:rFonts w:hint="eastAsia" w:ascii="宋体" w:hAnsi="宋体"/>
                <w:kern w:val="0"/>
                <w:sz w:val="24"/>
              </w:rPr>
              <w:t>23</w:t>
            </w:r>
          </w:p>
        </w:tc>
      </w:tr>
      <w:tr>
        <w:tblPrEx>
          <w:tblCellMar>
            <w:top w:w="0" w:type="dxa"/>
            <w:left w:w="0" w:type="dxa"/>
            <w:bottom w:w="0" w:type="dxa"/>
            <w:right w:w="0" w:type="dxa"/>
          </w:tblCellMar>
        </w:tblPrEx>
        <w:trPr>
          <w:trHeight w:val="409"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行政强制</w:t>
            </w:r>
          </w:p>
        </w:tc>
        <w:tc>
          <w:tcPr>
            <w:tcW w:w="5635" w:type="dxa"/>
            <w:gridSpan w:val="3"/>
            <w:tcBorders>
              <w:top w:val="nil"/>
              <w:left w:val="nil"/>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kern w:val="0"/>
                <w:sz w:val="24"/>
              </w:rPr>
            </w:pPr>
            <w:r>
              <w:rPr>
                <w:rFonts w:hint="eastAsia" w:ascii="宋体" w:hAnsi="宋体"/>
                <w:kern w:val="0"/>
                <w:sz w:val="24"/>
              </w:rPr>
              <w:t>0</w:t>
            </w:r>
          </w:p>
        </w:tc>
      </w:tr>
      <w:tr>
        <w:tblPrEx>
          <w:tblCellMar>
            <w:top w:w="0" w:type="dxa"/>
            <w:left w:w="0" w:type="dxa"/>
            <w:bottom w:w="0" w:type="dxa"/>
            <w:right w:w="0" w:type="dxa"/>
          </w:tblCellMar>
        </w:tblPrEx>
        <w:trPr>
          <w:trHeight w:val="474" w:hRule="atLeast"/>
          <w:jc w:val="center"/>
        </w:trPr>
        <w:tc>
          <w:tcPr>
            <w:tcW w:w="8708"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第二十条第（八）项</w:t>
            </w:r>
          </w:p>
        </w:tc>
      </w:tr>
      <w:tr>
        <w:tblPrEx>
          <w:tblCellMar>
            <w:top w:w="0" w:type="dxa"/>
            <w:left w:w="0" w:type="dxa"/>
            <w:bottom w:w="0" w:type="dxa"/>
            <w:right w:w="0" w:type="dxa"/>
          </w:tblCellMar>
        </w:tblPrEx>
        <w:trPr>
          <w:trHeight w:val="447"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信息内容</w:t>
            </w:r>
          </w:p>
        </w:tc>
        <w:tc>
          <w:tcPr>
            <w:tcW w:w="563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本年收费金额（单位：万元）</w:t>
            </w:r>
          </w:p>
        </w:tc>
      </w:tr>
      <w:tr>
        <w:tblPrEx>
          <w:tblCellMar>
            <w:top w:w="0" w:type="dxa"/>
            <w:left w:w="0" w:type="dxa"/>
            <w:bottom w:w="0" w:type="dxa"/>
            <w:right w:w="0" w:type="dxa"/>
          </w:tblCellMar>
        </w:tblPrEx>
        <w:trPr>
          <w:trHeight w:val="440" w:hRule="atLeast"/>
          <w:jc w:val="center"/>
        </w:trPr>
        <w:tc>
          <w:tcPr>
            <w:tcW w:w="3073"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widowControl/>
              <w:rPr>
                <w:rFonts w:ascii="宋体" w:hAnsi="宋体"/>
                <w:color w:val="000000"/>
                <w:kern w:val="0"/>
                <w:sz w:val="24"/>
              </w:rPr>
            </w:pPr>
            <w:r>
              <w:rPr>
                <w:rFonts w:hint="eastAsia" w:ascii="宋体" w:hAnsi="宋体"/>
                <w:color w:val="000000"/>
                <w:kern w:val="0"/>
                <w:sz w:val="24"/>
              </w:rPr>
              <w:t>行政事业性收费</w:t>
            </w:r>
          </w:p>
        </w:tc>
        <w:tc>
          <w:tcPr>
            <w:tcW w:w="5635" w:type="dxa"/>
            <w:gridSpan w:val="3"/>
            <w:tcBorders>
              <w:top w:val="nil"/>
              <w:left w:val="nil"/>
              <w:bottom w:val="single" w:color="auto" w:sz="8" w:space="0"/>
              <w:right w:val="single" w:color="000000" w:sz="8" w:space="0"/>
            </w:tcBorders>
            <w:shd w:val="clear" w:color="auto" w:fill="FFFFFF"/>
            <w:tcMar>
              <w:left w:w="108" w:type="dxa"/>
              <w:right w:w="108" w:type="dxa"/>
            </w:tcMar>
            <w:vAlign w:val="center"/>
          </w:tcPr>
          <w:p>
            <w:pPr>
              <w:widowControl/>
              <w:jc w:val="center"/>
              <w:rPr>
                <w:rFonts w:ascii="宋体" w:hAnsi="宋体"/>
                <w:color w:val="000000"/>
                <w:kern w:val="0"/>
                <w:sz w:val="24"/>
              </w:rPr>
            </w:pPr>
            <w:r>
              <w:rPr>
                <w:rFonts w:hint="eastAsia" w:ascii="宋体" w:hAnsi="宋体"/>
                <w:color w:val="000000"/>
                <w:kern w:val="0"/>
                <w:sz w:val="24"/>
              </w:rPr>
              <w:t>0</w:t>
            </w:r>
          </w:p>
        </w:tc>
      </w:tr>
    </w:tbl>
    <w:p>
      <w:pPr>
        <w:pStyle w:val="6"/>
        <w:widowControl/>
        <w:shd w:val="clear" w:color="auto" w:fill="FFFFFF"/>
        <w:spacing w:beforeAutospacing="0" w:afterAutospacing="0"/>
        <w:ind w:firstLine="420"/>
        <w:jc w:val="both"/>
        <w:rPr>
          <w:rFonts w:ascii="宋体" w:hAnsi="宋体" w:cs="宋体"/>
          <w:color w:val="333333"/>
        </w:rPr>
      </w:pPr>
    </w:p>
    <w:p>
      <w:pPr>
        <w:pStyle w:val="6"/>
        <w:widowControl/>
        <w:shd w:val="clear" w:color="auto" w:fill="FFFFFF"/>
        <w:spacing w:beforeAutospacing="0" w:after="240" w:afterAutospacing="0"/>
        <w:ind w:left="-199" w:leftChars="-95" w:firstLine="620"/>
        <w:jc w:val="both"/>
        <w:rPr>
          <w:rFonts w:ascii="黑体" w:hAnsi="黑体" w:eastAsia="黑体" w:cs="黑体"/>
          <w:bCs/>
          <w:sz w:val="32"/>
          <w:szCs w:val="32"/>
        </w:rPr>
      </w:pPr>
      <w:r>
        <w:rPr>
          <w:rFonts w:hint="eastAsia" w:ascii="黑体" w:hAnsi="黑体" w:eastAsia="黑体" w:cs="黑体"/>
          <w:bCs/>
          <w:sz w:val="32"/>
          <w:szCs w:val="32"/>
        </w:rPr>
        <w:t>三、收到和处理政府信息公开申请情况</w:t>
      </w:r>
    </w:p>
    <w:tbl>
      <w:tblPr>
        <w:tblStyle w:val="7"/>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525"/>
        <w:gridCol w:w="1418"/>
        <w:gridCol w:w="2835"/>
        <w:gridCol w:w="850"/>
        <w:gridCol w:w="567"/>
        <w:gridCol w:w="567"/>
        <w:gridCol w:w="567"/>
        <w:gridCol w:w="567"/>
        <w:gridCol w:w="540"/>
        <w:gridCol w:w="635"/>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13" w:hRule="atLeast"/>
          <w:jc w:val="center"/>
        </w:trPr>
        <w:tc>
          <w:tcPr>
            <w:tcW w:w="4778" w:type="dxa"/>
            <w:gridSpan w:val="3"/>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jc w:val="center"/>
              <w:rPr>
                <w:rFonts w:ascii="宋体" w:hAnsi="宋体"/>
                <w:kern w:val="0"/>
                <w:sz w:val="20"/>
                <w:szCs w:val="20"/>
              </w:rPr>
            </w:pPr>
            <w:r>
              <w:rPr>
                <w:rFonts w:hint="eastAsia" w:ascii="宋体" w:hAnsi="宋体"/>
                <w:kern w:val="0"/>
                <w:sz w:val="20"/>
                <w:szCs w:val="20"/>
              </w:rPr>
              <w:t>（本列数据的勾稽关系为：第一项加第二项之和，</w:t>
            </w:r>
          </w:p>
          <w:p>
            <w:pPr>
              <w:widowControl/>
              <w:jc w:val="center"/>
              <w:rPr>
                <w:rFonts w:cs="Times New Roman"/>
              </w:rPr>
            </w:pPr>
            <w:r>
              <w:rPr>
                <w:rFonts w:hint="eastAsia" w:ascii="宋体" w:hAnsi="宋体"/>
                <w:kern w:val="0"/>
                <w:sz w:val="20"/>
                <w:szCs w:val="20"/>
              </w:rPr>
              <w:t>等于第三项加第四项之和）</w:t>
            </w:r>
          </w:p>
        </w:tc>
        <w:tc>
          <w:tcPr>
            <w:tcW w:w="4293" w:type="dxa"/>
            <w:gridSpan w:val="7"/>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cs="Times New Roman"/>
              </w:rPr>
            </w:pPr>
            <w:r>
              <w:rPr>
                <w:rFonts w:hint="eastAsia" w:ascii="宋体" w:hAnsi="宋体"/>
                <w:kern w:val="0"/>
                <w:sz w:val="20"/>
                <w:szCs w:val="20"/>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25"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Times New Roman"/>
                <w:sz w:val="24"/>
              </w:rPr>
            </w:pPr>
          </w:p>
        </w:tc>
        <w:tc>
          <w:tcPr>
            <w:tcW w:w="850" w:type="dxa"/>
            <w:vMerge w:val="restart"/>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ascii="宋体" w:hAnsi="宋体"/>
                <w:kern w:val="0"/>
                <w:sz w:val="20"/>
                <w:szCs w:val="20"/>
              </w:rPr>
              <w:t>自然人</w:t>
            </w:r>
          </w:p>
        </w:tc>
        <w:tc>
          <w:tcPr>
            <w:tcW w:w="2808"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cs="Times New Roman"/>
              </w:rPr>
            </w:pPr>
            <w:r>
              <w:rPr>
                <w:rFonts w:hint="eastAsia" w:ascii="宋体" w:hAnsi="宋体"/>
                <w:kern w:val="0"/>
                <w:sz w:val="20"/>
                <w:szCs w:val="20"/>
              </w:rPr>
              <w:t>法人或其他组织</w:t>
            </w:r>
          </w:p>
        </w:tc>
        <w:tc>
          <w:tcPr>
            <w:tcW w:w="635"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ascii="宋体" w:hAnsi="宋体"/>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127" w:hRule="atLeast"/>
          <w:jc w:val="center"/>
        </w:trPr>
        <w:tc>
          <w:tcPr>
            <w:tcW w:w="4778" w:type="dxa"/>
            <w:gridSpan w:val="3"/>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jc w:val="center"/>
              <w:rPr>
                <w:rFonts w:ascii="宋体" w:cs="Times New Roman"/>
                <w:sz w:val="24"/>
              </w:rPr>
            </w:pPr>
          </w:p>
        </w:tc>
        <w:tc>
          <w:tcPr>
            <w:tcW w:w="850" w:type="dxa"/>
            <w:vMerge w:val="continue"/>
            <w:tcBorders>
              <w:top w:val="nil"/>
              <w:left w:val="nil"/>
              <w:bottom w:val="single" w:color="auto" w:sz="8" w:space="0"/>
              <w:right w:val="single" w:color="auto" w:sz="8" w:space="0"/>
            </w:tcBorders>
            <w:tcMar>
              <w:left w:w="108" w:type="dxa"/>
              <w:right w:w="108" w:type="dxa"/>
            </w:tcMar>
            <w:vAlign w:val="center"/>
          </w:tcPr>
          <w:p>
            <w:pPr>
              <w:jc w:val="center"/>
              <w:rPr>
                <w:rFonts w:ascii="宋体" w:cs="Times New Roman"/>
                <w:sz w:val="24"/>
              </w:rPr>
            </w:pP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320" w:lineRule="exact"/>
              <w:ind w:left="-106" w:leftChars="-51" w:right="-107" w:rightChars="-51" w:hanging="1"/>
              <w:jc w:val="center"/>
              <w:rPr>
                <w:rFonts w:cs="Times New Roman"/>
              </w:rPr>
            </w:pPr>
            <w:r>
              <w:rPr>
                <w:rFonts w:hint="eastAsia" w:ascii="宋体" w:hAnsi="宋体"/>
                <w:kern w:val="0"/>
                <w:sz w:val="20"/>
                <w:szCs w:val="20"/>
              </w:rPr>
              <w:t>商业企业</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320" w:lineRule="exact"/>
              <w:ind w:left="-107" w:leftChars="-51" w:right="-107" w:rightChars="-51"/>
              <w:jc w:val="center"/>
              <w:rPr>
                <w:rFonts w:cs="Times New Roman"/>
              </w:rPr>
            </w:pPr>
            <w:r>
              <w:rPr>
                <w:rFonts w:hint="eastAsia" w:ascii="宋体" w:hAnsi="宋体"/>
                <w:kern w:val="0"/>
                <w:sz w:val="20"/>
                <w:szCs w:val="20"/>
              </w:rPr>
              <w:t>科研机构</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ind w:left="-107" w:leftChars="-51" w:right="-107" w:rightChars="-51"/>
              <w:jc w:val="center"/>
              <w:rPr>
                <w:rFonts w:cs="Times New Roman"/>
              </w:rPr>
            </w:pPr>
            <w:r>
              <w:rPr>
                <w:rFonts w:hint="eastAsia" w:ascii="宋体" w:hAnsi="宋体"/>
                <w:kern w:val="0"/>
                <w:sz w:val="20"/>
                <w:szCs w:val="20"/>
              </w:rPr>
              <w:t>社会公益组织</w:t>
            </w:r>
          </w:p>
        </w:tc>
        <w:tc>
          <w:tcPr>
            <w:tcW w:w="567"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ind w:left="-106" w:leftChars="-51" w:right="-107" w:rightChars="-51" w:hanging="1"/>
              <w:jc w:val="center"/>
              <w:rPr>
                <w:rFonts w:cs="Times New Roman"/>
              </w:rPr>
            </w:pPr>
            <w:r>
              <w:rPr>
                <w:rFonts w:hint="eastAsia" w:ascii="宋体" w:hAnsi="宋体"/>
                <w:kern w:val="0"/>
                <w:sz w:val="20"/>
                <w:szCs w:val="20"/>
              </w:rPr>
              <w:t>法律服务机构</w:t>
            </w:r>
          </w:p>
        </w:tc>
        <w:tc>
          <w:tcPr>
            <w:tcW w:w="540" w:type="dxa"/>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60" w:lineRule="exact"/>
              <w:ind w:left="-63" w:leftChars="-30" w:right="-134" w:rightChars="-64"/>
              <w:jc w:val="center"/>
              <w:rPr>
                <w:rFonts w:cs="Times New Roman"/>
              </w:rPr>
            </w:pPr>
            <w:r>
              <w:rPr>
                <w:rFonts w:hint="eastAsia" w:ascii="宋体" w:hAnsi="宋体"/>
                <w:kern w:val="0"/>
                <w:sz w:val="20"/>
                <w:szCs w:val="20"/>
              </w:rPr>
              <w:t>其他</w:t>
            </w:r>
          </w:p>
        </w:tc>
        <w:tc>
          <w:tcPr>
            <w:tcW w:w="635"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jc w:val="center"/>
              <w:rPr>
                <w:rFonts w:ascii="宋体" w:cs="Times New Roman"/>
                <w:sz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tcMar>
              <w:left w:w="108" w:type="dxa"/>
              <w:right w:w="108" w:type="dxa"/>
            </w:tcMar>
            <w:vAlign w:val="center"/>
          </w:tcPr>
          <w:p>
            <w:pPr>
              <w:widowControl/>
              <w:rPr>
                <w:rFonts w:cs="Times New Roman"/>
              </w:rPr>
            </w:pPr>
            <w:r>
              <w:rPr>
                <w:rFonts w:hint="eastAsia" w:ascii="宋体" w:hAnsi="宋体"/>
                <w:kern w:val="0"/>
                <w:sz w:val="20"/>
                <w:szCs w:val="20"/>
              </w:rPr>
              <w:t>一、本年新收政府信息公开申请数量</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2</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tcMar>
              <w:left w:w="108" w:type="dxa"/>
              <w:right w:w="108" w:type="dxa"/>
            </w:tcMar>
            <w:vAlign w:val="center"/>
          </w:tcPr>
          <w:p>
            <w:pPr>
              <w:widowControl/>
              <w:rPr>
                <w:rFonts w:cs="Times New Roman"/>
              </w:rPr>
            </w:pPr>
            <w:r>
              <w:rPr>
                <w:rFonts w:hint="eastAsia" w:ascii="宋体" w:hAnsi="宋体"/>
                <w:kern w:val="0"/>
                <w:sz w:val="20"/>
                <w:szCs w:val="20"/>
              </w:rPr>
              <w:t>二、上年结转政府信息公开申请数量</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after="180"/>
              <w:rPr>
                <w:rFonts w:cs="Times New Roman"/>
              </w:rPr>
            </w:pPr>
            <w:r>
              <w:rPr>
                <w:rFonts w:hint="eastAsia" w:ascii="宋体" w:hAnsi="宋体"/>
                <w:kern w:val="0"/>
                <w:sz w:val="20"/>
                <w:szCs w:val="20"/>
              </w:rPr>
              <w:t>三、本年度办理结果</w:t>
            </w:r>
          </w:p>
        </w:tc>
        <w:tc>
          <w:tcPr>
            <w:tcW w:w="4253" w:type="dxa"/>
            <w:gridSpan w:val="2"/>
            <w:tcBorders>
              <w:top w:val="nil"/>
              <w:left w:val="nil"/>
              <w:bottom w:val="single" w:color="auto" w:sz="8" w:space="0"/>
              <w:right w:val="single" w:color="auto" w:sz="8" w:space="0"/>
            </w:tcBorders>
            <w:tcMar>
              <w:left w:w="108" w:type="dxa"/>
              <w:right w:w="108" w:type="dxa"/>
            </w:tcMar>
            <w:vAlign w:val="center"/>
          </w:tcPr>
          <w:p>
            <w:pPr>
              <w:widowControl/>
              <w:rPr>
                <w:rFonts w:cs="Times New Roman"/>
              </w:rPr>
            </w:pPr>
            <w:r>
              <w:rPr>
                <w:rFonts w:ascii="楷体" w:hAnsi="楷体" w:eastAsia="楷体" w:cs="楷体"/>
                <w:kern w:val="0"/>
                <w:sz w:val="20"/>
                <w:szCs w:val="20"/>
              </w:rPr>
              <w:t>（一）予以公开</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2</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4253" w:type="dxa"/>
            <w:gridSpan w:val="2"/>
            <w:tcBorders>
              <w:top w:val="nil"/>
              <w:left w:val="nil"/>
              <w:bottom w:val="single" w:color="auto" w:sz="8" w:space="0"/>
              <w:right w:val="single" w:color="auto" w:sz="8" w:space="0"/>
            </w:tcBorders>
            <w:tcMar>
              <w:left w:w="108" w:type="dxa"/>
              <w:right w:w="108" w:type="dxa"/>
            </w:tcMar>
            <w:vAlign w:val="center"/>
          </w:tcPr>
          <w:p>
            <w:pPr>
              <w:widowControl/>
              <w:rPr>
                <w:rFonts w:cs="Times New Roman"/>
              </w:rPr>
            </w:pPr>
            <w:r>
              <w:rPr>
                <w:rFonts w:hint="eastAsia" w:ascii="楷体" w:hAnsi="楷体" w:eastAsia="楷体" w:cs="楷体"/>
                <w:kern w:val="0"/>
                <w:sz w:val="20"/>
                <w:szCs w:val="20"/>
              </w:rPr>
              <w:t>（二）部分公开（区分处理的，只计这一情形，不计其他情形）</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restart"/>
            <w:tcBorders>
              <w:top w:val="nil"/>
              <w:left w:val="nil"/>
              <w:bottom w:val="single" w:color="auto" w:sz="8" w:space="0"/>
              <w:right w:val="single" w:color="auto" w:sz="8" w:space="0"/>
            </w:tcBorders>
            <w:tcMar>
              <w:left w:w="108" w:type="dxa"/>
              <w:right w:w="108" w:type="dxa"/>
            </w:tcMar>
            <w:vAlign w:val="center"/>
          </w:tcPr>
          <w:p>
            <w:pPr>
              <w:widowControl/>
              <w:spacing w:line="200" w:lineRule="exact"/>
              <w:ind w:left="-107" w:leftChars="-51"/>
              <w:rPr>
                <w:rFonts w:cs="Times New Roman"/>
              </w:rPr>
            </w:pPr>
            <w:r>
              <w:rPr>
                <w:rFonts w:hint="eastAsia" w:ascii="楷体" w:hAnsi="楷体" w:eastAsia="楷体" w:cs="楷体"/>
                <w:kern w:val="0"/>
                <w:sz w:val="20"/>
                <w:szCs w:val="20"/>
              </w:rPr>
              <w:t>（三）不予公开</w:t>
            </w: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1.属于国家秘密</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2.其他法律行政法规禁止公开</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3.危及“三安全一稳定”</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4.保护第三方合法权益</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5.属于三类内部事务信息</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6.属于四类过程性信息</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7.属于行政执法案卷</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8.属于行政查询事项</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restart"/>
            <w:tcBorders>
              <w:top w:val="nil"/>
              <w:left w:val="nil"/>
              <w:bottom w:val="single" w:color="auto" w:sz="8" w:space="0"/>
              <w:right w:val="single" w:color="auto" w:sz="8" w:space="0"/>
            </w:tcBorders>
            <w:tcMar>
              <w:left w:w="108" w:type="dxa"/>
              <w:right w:w="108" w:type="dxa"/>
            </w:tcMar>
            <w:vAlign w:val="center"/>
          </w:tcPr>
          <w:p>
            <w:pPr>
              <w:widowControl/>
              <w:spacing w:line="200" w:lineRule="exact"/>
              <w:ind w:left="-107" w:leftChars="-51"/>
              <w:rPr>
                <w:rFonts w:cs="Times New Roman"/>
              </w:rPr>
            </w:pPr>
            <w:r>
              <w:rPr>
                <w:rFonts w:hint="eastAsia" w:ascii="楷体" w:hAnsi="楷体" w:eastAsia="楷体" w:cs="楷体"/>
                <w:kern w:val="0"/>
                <w:sz w:val="20"/>
                <w:szCs w:val="20"/>
              </w:rPr>
              <w:t>（四）无法提供</w:t>
            </w: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1.本机关不掌握相关政府信息</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ind w:left="-107" w:leftChars="-51"/>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2.没有现成信息需要另行制作</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ind w:left="-107" w:leftChars="-51"/>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3.补正后申请内容仍不明确</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restart"/>
            <w:tcBorders>
              <w:top w:val="nil"/>
              <w:left w:val="nil"/>
              <w:bottom w:val="single" w:color="auto" w:sz="8" w:space="0"/>
              <w:right w:val="single" w:color="auto" w:sz="8" w:space="0"/>
            </w:tcBorders>
            <w:tcMar>
              <w:left w:w="108" w:type="dxa"/>
              <w:right w:w="108" w:type="dxa"/>
            </w:tcMar>
            <w:vAlign w:val="center"/>
          </w:tcPr>
          <w:p>
            <w:pPr>
              <w:widowControl/>
              <w:spacing w:line="200" w:lineRule="exact"/>
              <w:ind w:left="-107" w:leftChars="-51"/>
              <w:rPr>
                <w:rFonts w:cs="Times New Roman"/>
              </w:rPr>
            </w:pPr>
            <w:r>
              <w:rPr>
                <w:rFonts w:hint="eastAsia" w:ascii="楷体" w:hAnsi="楷体" w:eastAsia="楷体" w:cs="楷体"/>
                <w:kern w:val="0"/>
                <w:sz w:val="20"/>
                <w:szCs w:val="20"/>
              </w:rPr>
              <w:t>（五）不予处理</w:t>
            </w: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1.信访举报投诉类申请</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2.重复申请</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cs="Times New Roman"/>
              </w:rPr>
            </w:pPr>
            <w:r>
              <w:rPr>
                <w:rFonts w:hint="eastAsia" w:ascii="楷体" w:hAnsi="楷体" w:eastAsia="楷体" w:cs="楷体"/>
                <w:kern w:val="0"/>
                <w:sz w:val="20"/>
                <w:szCs w:val="20"/>
              </w:rPr>
              <w:t>3.要求提供公开出版物</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cs="Times New Roman"/>
              </w:rPr>
            </w:pPr>
            <w:r>
              <w:rPr>
                <w:rFonts w:hint="eastAsia" w:ascii="楷体" w:hAnsi="楷体" w:eastAsia="楷体" w:cs="楷体"/>
                <w:kern w:val="0"/>
                <w:sz w:val="20"/>
                <w:szCs w:val="20"/>
              </w:rPr>
              <w:t>4.无正当理由大量反复申请</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continue"/>
            <w:tcBorders>
              <w:top w:val="nil"/>
              <w:left w:val="nil"/>
              <w:bottom w:val="single" w:color="auto" w:sz="8" w:space="0"/>
              <w:right w:val="single" w:color="auto" w:sz="8" w:space="0"/>
            </w:tcBorders>
            <w:tcMar>
              <w:left w:w="108" w:type="dxa"/>
              <w:right w:w="108" w:type="dxa"/>
            </w:tcMar>
            <w:vAlign w:val="center"/>
          </w:tcPr>
          <w:p>
            <w:pPr>
              <w:spacing w:line="200" w:lineRule="exact"/>
              <w:rPr>
                <w:rFonts w:ascii="宋体" w:cs="Times New Roman"/>
                <w:sz w:val="24"/>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300" w:lineRule="exact"/>
              <w:rPr>
                <w:rFonts w:ascii="楷体" w:hAnsi="楷体" w:eastAsia="楷体" w:cs="楷体"/>
                <w:kern w:val="0"/>
                <w:sz w:val="20"/>
                <w:szCs w:val="20"/>
              </w:rPr>
            </w:pPr>
            <w:r>
              <w:rPr>
                <w:rFonts w:hint="eastAsia" w:ascii="楷体" w:hAnsi="楷体" w:eastAsia="楷体" w:cs="楷体"/>
                <w:kern w:val="0"/>
                <w:sz w:val="20"/>
                <w:szCs w:val="20"/>
              </w:rPr>
              <w:t>5.要求行政机关确认或重新</w:t>
            </w:r>
          </w:p>
          <w:p>
            <w:pPr>
              <w:widowControl/>
              <w:spacing w:line="300" w:lineRule="exact"/>
              <w:ind w:firstLine="200" w:firstLineChars="100"/>
              <w:rPr>
                <w:rFonts w:cs="Times New Roman"/>
              </w:rPr>
            </w:pPr>
            <w:r>
              <w:rPr>
                <w:rFonts w:hint="eastAsia" w:ascii="楷体" w:hAnsi="楷体" w:eastAsia="楷体" w:cs="楷体"/>
                <w:kern w:val="0"/>
                <w:sz w:val="20"/>
                <w:szCs w:val="20"/>
              </w:rPr>
              <w:t>出具已获取信息</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1418" w:type="dxa"/>
            <w:vMerge w:val="restart"/>
            <w:tcBorders>
              <w:top w:val="nil"/>
              <w:left w:val="nil"/>
              <w:right w:val="single" w:color="auto" w:sz="8" w:space="0"/>
            </w:tcBorders>
            <w:tcMar>
              <w:left w:w="108" w:type="dxa"/>
              <w:right w:w="108" w:type="dxa"/>
            </w:tcMar>
            <w:vAlign w:val="center"/>
          </w:tcPr>
          <w:p>
            <w:pPr>
              <w:widowControl/>
              <w:spacing w:line="200" w:lineRule="exact"/>
              <w:rPr>
                <w:rFonts w:cs="Times New Roman"/>
              </w:rPr>
            </w:pPr>
            <w:r>
              <w:rPr>
                <w:rFonts w:hint="eastAsia" w:ascii="楷体" w:hAnsi="楷体" w:eastAsia="楷体" w:cs="楷体"/>
                <w:kern w:val="0"/>
                <w:sz w:val="20"/>
                <w:szCs w:val="20"/>
              </w:rPr>
              <w:t>（六）其他处理</w:t>
            </w:r>
          </w:p>
        </w:tc>
        <w:tc>
          <w:tcPr>
            <w:tcW w:w="2835" w:type="dxa"/>
            <w:tcBorders>
              <w:top w:val="nil"/>
              <w:left w:val="nil"/>
              <w:bottom w:val="single" w:color="auto" w:sz="8" w:space="0"/>
              <w:right w:val="single" w:color="auto" w:sz="8" w:space="0"/>
            </w:tcBorders>
            <w:tcMar>
              <w:left w:w="108" w:type="dxa"/>
              <w:right w:w="108" w:type="dxa"/>
            </w:tcMar>
            <w:vAlign w:val="center"/>
          </w:tcPr>
          <w:p>
            <w:pPr>
              <w:widowControl/>
              <w:rPr>
                <w:rFonts w:ascii="楷体" w:hAnsi="楷体" w:eastAsia="楷体" w:cs="楷体"/>
                <w:kern w:val="0"/>
                <w:sz w:val="20"/>
                <w:szCs w:val="20"/>
              </w:rPr>
            </w:pPr>
            <w:r>
              <w:rPr>
                <w:rFonts w:hint="eastAsia" w:ascii="楷体" w:hAnsi="楷体" w:eastAsia="楷体" w:cs="楷体"/>
                <w:kern w:val="0"/>
                <w:sz w:val="20"/>
                <w:szCs w:val="20"/>
              </w:rPr>
              <w:t>1.申请人无正当理由逾期不补正、行政机关不再处理其政府信息公开申请</w:t>
            </w:r>
          </w:p>
        </w:tc>
        <w:tc>
          <w:tcPr>
            <w:tcW w:w="850" w:type="dxa"/>
            <w:tcBorders>
              <w:top w:val="nil"/>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94" w:hRule="atLeas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200" w:lineRule="exact"/>
              <w:rPr>
                <w:rFonts w:cs="Times New Roman"/>
              </w:rPr>
            </w:pPr>
          </w:p>
        </w:tc>
        <w:tc>
          <w:tcPr>
            <w:tcW w:w="1418" w:type="dxa"/>
            <w:vMerge w:val="continue"/>
            <w:tcBorders>
              <w:left w:val="nil"/>
              <w:right w:val="single" w:color="auto" w:sz="8" w:space="0"/>
            </w:tcBorders>
            <w:tcMar>
              <w:left w:w="108" w:type="dxa"/>
              <w:right w:w="108" w:type="dxa"/>
            </w:tcMar>
            <w:vAlign w:val="center"/>
          </w:tcPr>
          <w:p>
            <w:pPr>
              <w:widowControl/>
              <w:spacing w:line="200" w:lineRule="exact"/>
              <w:rPr>
                <w:rFonts w:cs="Times New Roman"/>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rPr>
                <w:rFonts w:ascii="楷体" w:hAnsi="楷体" w:eastAsia="楷体" w:cs="楷体"/>
                <w:kern w:val="0"/>
                <w:sz w:val="20"/>
                <w:szCs w:val="20"/>
              </w:rPr>
            </w:pPr>
            <w:r>
              <w:rPr>
                <w:rFonts w:hint="eastAsia" w:ascii="楷体" w:hAnsi="楷体" w:eastAsia="楷体" w:cs="楷体"/>
                <w:kern w:val="0"/>
                <w:sz w:val="20"/>
                <w:szCs w:val="20"/>
              </w:rPr>
              <w:t>2.申请人逾期未按收费通知要求缴纳费用、行政机关不再处理其政府信息公开申请</w:t>
            </w:r>
          </w:p>
        </w:tc>
        <w:tc>
          <w:tcPr>
            <w:tcW w:w="850" w:type="dxa"/>
            <w:tcBorders>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left w:val="nil"/>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54" w:hRule="atLeast"/>
          <w:jc w:val="center"/>
        </w:trPr>
        <w:tc>
          <w:tcPr>
            <w:tcW w:w="525" w:type="dxa"/>
            <w:vMerge w:val="continue"/>
            <w:tcBorders>
              <w:left w:val="single" w:color="auto" w:sz="8" w:space="0"/>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p>
        </w:tc>
        <w:tc>
          <w:tcPr>
            <w:tcW w:w="1418" w:type="dxa"/>
            <w:vMerge w:val="continue"/>
            <w:tcBorders>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p>
        </w:tc>
        <w:tc>
          <w:tcPr>
            <w:tcW w:w="2835" w:type="dxa"/>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ascii="楷体" w:hAnsi="楷体" w:eastAsia="楷体" w:cs="楷体"/>
                <w:kern w:val="0"/>
                <w:sz w:val="20"/>
                <w:szCs w:val="20"/>
              </w:rPr>
            </w:pPr>
            <w:r>
              <w:rPr>
                <w:rFonts w:hint="eastAsia" w:ascii="楷体" w:hAnsi="楷体" w:eastAsia="楷体" w:cs="楷体"/>
                <w:kern w:val="0"/>
                <w:sz w:val="20"/>
                <w:szCs w:val="20"/>
              </w:rPr>
              <w:t>3.其他</w:t>
            </w:r>
          </w:p>
        </w:tc>
        <w:tc>
          <w:tcPr>
            <w:tcW w:w="850" w:type="dxa"/>
            <w:tcBorders>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97" w:hRule="exact"/>
          <w:jc w:val="center"/>
        </w:trPr>
        <w:tc>
          <w:tcPr>
            <w:tcW w:w="52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cs="Times New Roman"/>
                <w:sz w:val="24"/>
              </w:rPr>
            </w:pPr>
          </w:p>
        </w:tc>
        <w:tc>
          <w:tcPr>
            <w:tcW w:w="4253" w:type="dxa"/>
            <w:gridSpan w:val="2"/>
            <w:tcBorders>
              <w:top w:val="nil"/>
              <w:left w:val="nil"/>
              <w:bottom w:val="single" w:color="auto" w:sz="8" w:space="0"/>
              <w:right w:val="single" w:color="auto" w:sz="8" w:space="0"/>
            </w:tcBorders>
            <w:tcMar>
              <w:left w:w="108" w:type="dxa"/>
              <w:right w:w="108" w:type="dxa"/>
            </w:tcMar>
            <w:vAlign w:val="center"/>
          </w:tcPr>
          <w:p>
            <w:pPr>
              <w:widowControl/>
              <w:spacing w:line="200" w:lineRule="exact"/>
              <w:rPr>
                <w:rFonts w:cs="Times New Roman"/>
              </w:rPr>
            </w:pPr>
            <w:r>
              <w:rPr>
                <w:rFonts w:hint="eastAsia" w:ascii="楷体" w:hAnsi="楷体" w:eastAsia="楷体" w:cs="楷体"/>
                <w:kern w:val="0"/>
                <w:sz w:val="20"/>
                <w:szCs w:val="20"/>
              </w:rPr>
              <w:t>（七）总计</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2</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2</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778" w:type="dxa"/>
            <w:gridSpan w:val="3"/>
            <w:tcBorders>
              <w:top w:val="nil"/>
              <w:left w:val="single" w:color="auto" w:sz="8" w:space="0"/>
              <w:bottom w:val="single" w:color="auto" w:sz="8" w:space="0"/>
              <w:right w:val="single" w:color="auto" w:sz="8" w:space="0"/>
            </w:tcBorders>
            <w:tcMar>
              <w:left w:w="108" w:type="dxa"/>
              <w:right w:w="108" w:type="dxa"/>
            </w:tcMar>
            <w:vAlign w:val="center"/>
          </w:tcPr>
          <w:p>
            <w:pPr>
              <w:widowControl/>
              <w:rPr>
                <w:rFonts w:cs="Times New Roman"/>
              </w:rPr>
            </w:pPr>
            <w:r>
              <w:rPr>
                <w:rFonts w:hint="eastAsia" w:ascii="宋体" w:hAnsi="宋体"/>
                <w:kern w:val="0"/>
                <w:sz w:val="20"/>
                <w:szCs w:val="20"/>
              </w:rPr>
              <w:t>四、结转下年度继续办理</w:t>
            </w:r>
          </w:p>
        </w:tc>
        <w:tc>
          <w:tcPr>
            <w:tcW w:w="85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67"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540" w:type="dxa"/>
            <w:tcBorders>
              <w:top w:val="nil"/>
              <w:left w:val="nil"/>
              <w:bottom w:val="single" w:color="auto" w:sz="8" w:space="0"/>
              <w:right w:val="single" w:color="auto" w:sz="8" w:space="0"/>
            </w:tcBorders>
            <w:tcMar>
              <w:left w:w="108" w:type="dxa"/>
              <w:right w:w="108" w:type="dxa"/>
            </w:tcMar>
            <w:vAlign w:val="center"/>
          </w:tcPr>
          <w:p>
            <w:pPr>
              <w:widowControl/>
              <w:jc w:val="center"/>
              <w:rPr>
                <w:rFonts w:cs="Times New Roman"/>
              </w:rPr>
            </w:pPr>
            <w:r>
              <w:rPr>
                <w:rFonts w:hint="eastAsia" w:cs="Times New Roman"/>
              </w:rPr>
              <w:t>0</w:t>
            </w:r>
          </w:p>
        </w:tc>
        <w:tc>
          <w:tcPr>
            <w:tcW w:w="635" w:type="dxa"/>
            <w:tcBorders>
              <w:top w:val="nil"/>
              <w:left w:val="nil"/>
              <w:bottom w:val="single" w:color="auto" w:sz="8" w:space="0"/>
              <w:right w:val="single" w:color="auto" w:sz="8" w:space="0"/>
            </w:tcBorders>
            <w:tcMar>
              <w:left w:w="108" w:type="dxa"/>
              <w:right w:w="108" w:type="dxa"/>
            </w:tcMar>
            <w:vAlign w:val="center"/>
          </w:tcPr>
          <w:p>
            <w:pPr>
              <w:widowControl/>
              <w:jc w:val="center"/>
              <w:rPr>
                <w:rFonts w:ascii="宋体" w:cs="Times New Roman"/>
                <w:sz w:val="24"/>
              </w:rPr>
            </w:pPr>
            <w:r>
              <w:rPr>
                <w:rFonts w:hint="eastAsia" w:cs="Times New Roman"/>
              </w:rPr>
              <w:t>0</w:t>
            </w:r>
          </w:p>
        </w:tc>
      </w:tr>
    </w:tbl>
    <w:p>
      <w:pPr>
        <w:pStyle w:val="6"/>
        <w:widowControl/>
        <w:shd w:val="clear" w:color="auto" w:fill="FFFFFF"/>
        <w:spacing w:beforeAutospacing="0" w:afterAutospacing="0"/>
        <w:jc w:val="both"/>
        <w:rPr>
          <w:rFonts w:ascii="宋体" w:hAnsi="宋体" w:cs="宋体"/>
          <w:color w:val="333333"/>
        </w:rPr>
      </w:pPr>
      <w:r>
        <w:rPr>
          <w:rFonts w:hint="eastAsia" w:ascii="宋体" w:hAnsi="宋体" w:cs="宋体"/>
          <w:color w:val="333333"/>
        </w:rPr>
        <w:t xml:space="preserve">  </w:t>
      </w:r>
    </w:p>
    <w:p>
      <w:pPr>
        <w:pStyle w:val="6"/>
        <w:widowControl/>
        <w:shd w:val="clear" w:color="auto" w:fill="FFFFFF"/>
        <w:spacing w:beforeAutospacing="0" w:afterAutospacing="0"/>
        <w:ind w:firstLine="420"/>
        <w:jc w:val="both"/>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四、政府信息公开行政复议、行政诉讼情况</w:t>
      </w:r>
    </w:p>
    <w:p>
      <w:pPr>
        <w:pStyle w:val="6"/>
        <w:widowControl/>
        <w:shd w:val="clear" w:color="auto" w:fill="FFFFFF"/>
        <w:spacing w:beforeAutospacing="0" w:afterAutospacing="0"/>
        <w:jc w:val="both"/>
        <w:rPr>
          <w:rFonts w:ascii="宋体" w:hAnsi="宋体" w:cs="宋体"/>
          <w:color w:val="333333"/>
        </w:rPr>
      </w:pPr>
      <w:r>
        <w:rPr>
          <w:rFonts w:hint="eastAsia" w:ascii="宋体" w:hAnsi="宋体" w:cs="宋体"/>
          <w:color w:val="333333"/>
        </w:rPr>
        <w:t xml:space="preserve">  </w:t>
      </w:r>
    </w:p>
    <w:tbl>
      <w:tblPr>
        <w:tblStyle w:val="7"/>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4" w:space="0"/>
              <w:right w:val="single" w:color="auto" w:sz="8" w:space="0"/>
            </w:tcBorders>
            <w:shd w:val="clear" w:color="auto" w:fill="auto"/>
            <w:tcMar>
              <w:left w:w="108" w:type="dxa"/>
              <w:right w:w="108" w:type="dxa"/>
            </w:tcMar>
            <w:vAlign w:val="center"/>
          </w:tcPr>
          <w:p>
            <w:pPr>
              <w:widowControl/>
              <w:rPr>
                <w:rFonts w:ascii="宋体" w:hAnsi="宋体"/>
                <w:kern w:val="0"/>
                <w:sz w:val="20"/>
                <w:szCs w:val="20"/>
              </w:rPr>
            </w:pPr>
            <w:r>
              <w:rPr>
                <w:rFonts w:hint="eastAsia" w:ascii="宋体" w:hAnsi="宋体"/>
                <w:kern w:val="0"/>
                <w:sz w:val="20"/>
                <w:szCs w:val="20"/>
              </w:rPr>
              <w:t>行政复议</w:t>
            </w:r>
          </w:p>
        </w:tc>
        <w:tc>
          <w:tcPr>
            <w:tcW w:w="5997" w:type="dxa"/>
            <w:gridSpan w:val="10"/>
            <w:tcBorders>
              <w:top w:val="single" w:color="auto" w:sz="8" w:space="0"/>
              <w:left w:val="nil"/>
              <w:bottom w:val="single" w:color="auto" w:sz="4" w:space="0"/>
              <w:right w:val="single" w:color="auto" w:sz="8" w:space="0"/>
            </w:tcBorders>
            <w:shd w:val="clear" w:color="auto" w:fill="auto"/>
            <w:tcMar>
              <w:left w:w="108" w:type="dxa"/>
              <w:right w:w="108" w:type="dxa"/>
            </w:tcMar>
            <w:vAlign w:val="center"/>
          </w:tcPr>
          <w:p>
            <w:pPr>
              <w:widowControl/>
              <w:rPr>
                <w:rFonts w:ascii="宋体" w:hAnsi="宋体"/>
                <w:kern w:val="0"/>
                <w:sz w:val="20"/>
                <w:szCs w:val="20"/>
              </w:rPr>
            </w:pPr>
            <w:r>
              <w:rPr>
                <w:rFonts w:hint="eastAsia" w:ascii="宋体" w:hAnsi="宋体"/>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ind w:left="-149" w:leftChars="-71" w:right="-170" w:rightChars="-81"/>
              <w:jc w:val="center"/>
              <w:rPr>
                <w:rFonts w:ascii="宋体" w:hAnsi="宋体"/>
                <w:kern w:val="0"/>
                <w:sz w:val="20"/>
                <w:szCs w:val="20"/>
              </w:rPr>
            </w:pPr>
            <w:r>
              <w:rPr>
                <w:rFonts w:hint="eastAsia" w:ascii="宋体" w:hAnsi="宋体"/>
                <w:kern w:val="0"/>
                <w:sz w:val="20"/>
                <w:szCs w:val="20"/>
              </w:rPr>
              <w:t>结果</w:t>
            </w:r>
          </w:p>
          <w:p>
            <w:pPr>
              <w:widowControl/>
              <w:ind w:left="-149" w:leftChars="-71" w:right="-170" w:rightChars="-81"/>
              <w:jc w:val="center"/>
            </w:pPr>
            <w:r>
              <w:rPr>
                <w:rFonts w:hint="eastAsia" w:ascii="宋体" w:hAnsi="宋体"/>
                <w:kern w:val="0"/>
                <w:sz w:val="20"/>
                <w:szCs w:val="20"/>
              </w:rPr>
              <w:t>维持</w:t>
            </w:r>
          </w:p>
        </w:tc>
        <w:tc>
          <w:tcPr>
            <w:tcW w:w="604" w:type="dxa"/>
            <w:vMerge w:val="restart"/>
            <w:tcBorders>
              <w:top w:val="nil"/>
              <w:left w:val="nil"/>
              <w:bottom w:val="single" w:color="auto" w:sz="8" w:space="0"/>
              <w:right w:val="single" w:color="auto" w:sz="8" w:space="0"/>
            </w:tcBorders>
            <w:tcMar>
              <w:left w:w="108" w:type="dxa"/>
              <w:right w:w="108" w:type="dxa"/>
            </w:tcMar>
            <w:vAlign w:val="center"/>
          </w:tcPr>
          <w:p>
            <w:pPr>
              <w:widowControl/>
              <w:ind w:left="-43" w:leftChars="-21" w:right="-132" w:rightChars="-63" w:hanging="1"/>
              <w:jc w:val="center"/>
            </w:pPr>
            <w:r>
              <w:rPr>
                <w:rFonts w:hint="eastAsia" w:ascii="宋体" w:hAnsi="宋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82" w:leftChars="-39" w:right="-97" w:rightChars="-46"/>
              <w:jc w:val="center"/>
            </w:pPr>
            <w:r>
              <w:rPr>
                <w:rFonts w:hint="eastAsia" w:ascii="宋体" w:hAnsi="宋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ind w:left="-118" w:leftChars="-56" w:right="-118" w:rightChars="-56"/>
              <w:jc w:val="center"/>
              <w:rPr>
                <w:rFonts w:ascii="宋体" w:hAnsi="宋体"/>
                <w:kern w:val="0"/>
                <w:sz w:val="20"/>
                <w:szCs w:val="20"/>
              </w:rPr>
            </w:pPr>
            <w:r>
              <w:rPr>
                <w:rFonts w:hint="eastAsia" w:ascii="宋体" w:hAnsi="宋体"/>
                <w:kern w:val="0"/>
                <w:sz w:val="20"/>
                <w:szCs w:val="20"/>
              </w:rPr>
              <w:t>尚未</w:t>
            </w:r>
          </w:p>
          <w:p>
            <w:pPr>
              <w:widowControl/>
              <w:ind w:left="-118" w:leftChars="-56" w:right="-118" w:rightChars="-56"/>
              <w:jc w:val="center"/>
            </w:pPr>
            <w:r>
              <w:rPr>
                <w:rFonts w:hint="eastAsia" w:ascii="宋体" w:hAnsi="宋体"/>
                <w:kern w:val="0"/>
                <w:sz w:val="20"/>
                <w:szCs w:val="20"/>
              </w:rPr>
              <w:t>审结</w:t>
            </w:r>
          </w:p>
        </w:tc>
        <w:tc>
          <w:tcPr>
            <w:tcW w:w="658" w:type="dxa"/>
            <w:vMerge w:val="restart"/>
            <w:tcBorders>
              <w:top w:val="single" w:color="auto" w:sz="8" w:space="0"/>
              <w:left w:val="nil"/>
              <w:bottom w:val="single" w:color="auto" w:sz="8" w:space="0"/>
              <w:right w:val="single" w:color="auto" w:sz="8" w:space="0"/>
            </w:tcBorders>
            <w:tcMar>
              <w:left w:w="108" w:type="dxa"/>
              <w:right w:w="108" w:type="dxa"/>
            </w:tcMar>
            <w:vAlign w:val="center"/>
          </w:tcPr>
          <w:p>
            <w:pPr>
              <w:widowControl/>
              <w:spacing w:line="320" w:lineRule="exact"/>
              <w:jc w:val="center"/>
              <w:rPr>
                <w:rFonts w:ascii="宋体" w:hAnsi="宋体"/>
                <w:kern w:val="0"/>
                <w:sz w:val="20"/>
                <w:szCs w:val="20"/>
              </w:rPr>
            </w:pPr>
            <w:r>
              <w:rPr>
                <w:rFonts w:hint="eastAsia" w:ascii="宋体" w:hAnsi="宋体"/>
                <w:kern w:val="0"/>
                <w:sz w:val="20"/>
                <w:szCs w:val="20"/>
              </w:rPr>
              <w:t>总</w:t>
            </w:r>
          </w:p>
          <w:p>
            <w:pPr>
              <w:widowControl/>
              <w:spacing w:line="320" w:lineRule="exact"/>
              <w:jc w:val="center"/>
            </w:pPr>
            <w:r>
              <w:rPr>
                <w:rFonts w:hint="eastAsia" w:ascii="宋体" w:hAnsi="宋体"/>
                <w:kern w:val="0"/>
                <w:sz w:val="20"/>
                <w:szCs w:val="20"/>
              </w:rPr>
              <w:t>计</w:t>
            </w:r>
          </w:p>
        </w:tc>
        <w:tc>
          <w:tcPr>
            <w:tcW w:w="2970"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pPr>
            <w:r>
              <w:rPr>
                <w:rFonts w:hint="eastAsia" w:ascii="宋体" w:hAnsi="宋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pPr>
            <w:r>
              <w:rPr>
                <w:rFonts w:hint="eastAsia" w:ascii="宋体" w:hAnsi="宋体"/>
                <w:kern w:val="0"/>
                <w:sz w:val="20"/>
                <w:szCs w:val="20"/>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rPr>
                <w:rFonts w:ascii="宋体"/>
                <w:sz w:val="24"/>
              </w:rPr>
            </w:pPr>
          </w:p>
        </w:tc>
        <w:tc>
          <w:tcPr>
            <w:tcW w:w="604" w:type="dxa"/>
            <w:vMerge w:val="continue"/>
            <w:tcBorders>
              <w:top w:val="nil"/>
              <w:left w:val="nil"/>
              <w:bottom w:val="single" w:color="auto" w:sz="8" w:space="0"/>
              <w:right w:val="single" w:color="auto" w:sz="8" w:space="0"/>
            </w:tcBorders>
            <w:tcMar>
              <w:left w:w="108" w:type="dxa"/>
              <w:right w:w="108" w:type="dxa"/>
            </w:tcMar>
            <w:vAlign w:val="center"/>
          </w:tcPr>
          <w:p>
            <w:pPr>
              <w:rPr>
                <w:rFonts w:ascii="宋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宋体"/>
                <w:sz w:val="24"/>
              </w:rPr>
            </w:pPr>
          </w:p>
        </w:tc>
        <w:tc>
          <w:tcPr>
            <w:tcW w:w="604"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宋体"/>
                <w:sz w:val="24"/>
              </w:rPr>
            </w:pPr>
          </w:p>
        </w:tc>
        <w:tc>
          <w:tcPr>
            <w:tcW w:w="658" w:type="dxa"/>
            <w:vMerge w:val="continue"/>
            <w:tcBorders>
              <w:top w:val="single" w:color="auto" w:sz="8" w:space="0"/>
              <w:left w:val="nil"/>
              <w:bottom w:val="single" w:color="auto" w:sz="8" w:space="0"/>
              <w:right w:val="single" w:color="auto" w:sz="8" w:space="0"/>
            </w:tcBorders>
            <w:tcMar>
              <w:left w:w="108" w:type="dxa"/>
              <w:right w:w="108" w:type="dxa"/>
            </w:tcMar>
            <w:vAlign w:val="center"/>
          </w:tcPr>
          <w:p>
            <w:pPr>
              <w:rPr>
                <w:rFonts w:ascii="宋体"/>
                <w:sz w:val="24"/>
              </w:rPr>
            </w:pPr>
          </w:p>
        </w:tc>
        <w:tc>
          <w:tcPr>
            <w:tcW w:w="550" w:type="dxa"/>
            <w:tcBorders>
              <w:top w:val="nil"/>
              <w:left w:val="nil"/>
              <w:bottom w:val="single" w:color="auto" w:sz="8" w:space="0"/>
              <w:right w:val="single" w:color="auto" w:sz="8" w:space="0"/>
            </w:tcBorders>
            <w:tcMar>
              <w:left w:w="108" w:type="dxa"/>
              <w:right w:w="108" w:type="dxa"/>
            </w:tcMar>
            <w:vAlign w:val="center"/>
          </w:tcPr>
          <w:p>
            <w:pPr>
              <w:widowControl/>
              <w:ind w:left="-105" w:leftChars="-50" w:right="-126" w:rightChars="-60"/>
              <w:jc w:val="center"/>
            </w:pPr>
            <w:r>
              <w:rPr>
                <w:rFonts w:hint="eastAsia" w:ascii="宋体" w:hAnsi="宋体"/>
                <w:kern w:val="0"/>
                <w:sz w:val="20"/>
                <w:szCs w:val="20"/>
              </w:rPr>
              <w:t>结果维持</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ind w:left="-86" w:leftChars="-41" w:right="-88" w:rightChars="-42"/>
              <w:jc w:val="center"/>
            </w:pPr>
            <w:r>
              <w:rPr>
                <w:rFonts w:hint="eastAsia" w:ascii="宋体" w:hAnsi="宋体"/>
                <w:kern w:val="0"/>
                <w:sz w:val="20"/>
                <w:szCs w:val="20"/>
              </w:rPr>
              <w:t>结果纠正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26" w:leftChars="-60" w:right="-136" w:rightChars="-65"/>
              <w:jc w:val="center"/>
              <w:rPr>
                <w:rFonts w:ascii="宋体" w:hAnsi="宋体"/>
                <w:kern w:val="0"/>
                <w:sz w:val="20"/>
                <w:szCs w:val="20"/>
              </w:rPr>
            </w:pPr>
            <w:r>
              <w:rPr>
                <w:rFonts w:hint="eastAsia" w:ascii="宋体" w:hAnsi="宋体"/>
                <w:kern w:val="0"/>
                <w:sz w:val="20"/>
                <w:szCs w:val="20"/>
              </w:rPr>
              <w:t>其他</w:t>
            </w:r>
          </w:p>
          <w:p>
            <w:pPr>
              <w:widowControl/>
              <w:ind w:left="-126" w:leftChars="-60" w:right="-136" w:rightChars="-65"/>
              <w:jc w:val="center"/>
            </w:pPr>
            <w:r>
              <w:rPr>
                <w:rFonts w:hint="eastAsia" w:ascii="宋体" w:hAnsi="宋体"/>
                <w:kern w:val="0"/>
                <w:sz w:val="20"/>
                <w:szCs w:val="20"/>
              </w:rPr>
              <w:t>结果</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64" w:leftChars="-78" w:right="-153" w:rightChars="-73"/>
              <w:jc w:val="center"/>
              <w:rPr>
                <w:rFonts w:ascii="宋体" w:hAnsi="宋体"/>
                <w:kern w:val="0"/>
                <w:sz w:val="20"/>
                <w:szCs w:val="20"/>
              </w:rPr>
            </w:pPr>
            <w:r>
              <w:rPr>
                <w:rFonts w:hint="eastAsia" w:ascii="宋体" w:hAnsi="宋体"/>
                <w:kern w:val="0"/>
                <w:sz w:val="20"/>
                <w:szCs w:val="20"/>
              </w:rPr>
              <w:t>尚未</w:t>
            </w:r>
          </w:p>
          <w:p>
            <w:pPr>
              <w:widowControl/>
              <w:ind w:left="-164" w:leftChars="-78" w:right="-153" w:rightChars="-73"/>
              <w:jc w:val="center"/>
            </w:pPr>
            <w:r>
              <w:rPr>
                <w:rFonts w:hint="eastAsia" w:ascii="宋体" w:hAnsi="宋体"/>
                <w:kern w:val="0"/>
                <w:sz w:val="20"/>
                <w:szCs w:val="20"/>
              </w:rPr>
              <w:t>审结</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pPr>
            <w:r>
              <w:rPr>
                <w:rFonts w:hint="eastAsia" w:ascii="宋体" w:hAnsi="宋体"/>
                <w:color w:val="000000"/>
                <w:kern w:val="0"/>
                <w:sz w:val="20"/>
                <w:szCs w:val="20"/>
              </w:rPr>
              <w:t>总计</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99" w:leftChars="-47" w:right="-78" w:rightChars="-37"/>
              <w:jc w:val="center"/>
            </w:pPr>
            <w:r>
              <w:rPr>
                <w:rFonts w:hint="eastAsia" w:ascii="宋体" w:hAnsi="宋体"/>
                <w:kern w:val="0"/>
                <w:sz w:val="20"/>
                <w:szCs w:val="20"/>
              </w:rPr>
              <w:t>结果维持</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36" w:leftChars="-65" w:right="-124" w:rightChars="-59"/>
              <w:jc w:val="center"/>
              <w:rPr>
                <w:rFonts w:ascii="宋体" w:hAnsi="宋体"/>
                <w:kern w:val="0"/>
                <w:sz w:val="20"/>
                <w:szCs w:val="20"/>
              </w:rPr>
            </w:pPr>
            <w:r>
              <w:rPr>
                <w:rFonts w:hint="eastAsia" w:ascii="宋体" w:hAnsi="宋体"/>
                <w:kern w:val="0"/>
                <w:sz w:val="20"/>
                <w:szCs w:val="20"/>
              </w:rPr>
              <w:t>结果</w:t>
            </w:r>
          </w:p>
          <w:p>
            <w:pPr>
              <w:widowControl/>
              <w:ind w:left="-136" w:leftChars="-65" w:right="-124" w:rightChars="-59"/>
              <w:jc w:val="center"/>
            </w:pPr>
            <w:r>
              <w:rPr>
                <w:rFonts w:hint="eastAsia" w:ascii="宋体" w:hAnsi="宋体"/>
                <w:kern w:val="0"/>
                <w:sz w:val="20"/>
                <w:szCs w:val="20"/>
              </w:rPr>
              <w:t>纠正</w:t>
            </w:r>
          </w:p>
        </w:tc>
        <w:tc>
          <w:tcPr>
            <w:tcW w:w="605"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173" w:leftChars="-83" w:right="-134" w:rightChars="-64" w:hanging="1"/>
              <w:jc w:val="center"/>
              <w:rPr>
                <w:rFonts w:ascii="宋体" w:hAnsi="宋体"/>
                <w:color w:val="000000"/>
                <w:kern w:val="0"/>
                <w:sz w:val="20"/>
                <w:szCs w:val="20"/>
              </w:rPr>
            </w:pPr>
            <w:r>
              <w:rPr>
                <w:rFonts w:hint="eastAsia" w:ascii="宋体" w:hAnsi="宋体"/>
                <w:color w:val="000000"/>
                <w:kern w:val="0"/>
                <w:sz w:val="20"/>
                <w:szCs w:val="20"/>
              </w:rPr>
              <w:t>其他</w:t>
            </w:r>
          </w:p>
          <w:p>
            <w:pPr>
              <w:widowControl/>
              <w:ind w:left="-173" w:leftChars="-83" w:right="-134" w:rightChars="-64" w:hanging="1"/>
              <w:jc w:val="center"/>
            </w:pPr>
            <w:r>
              <w:rPr>
                <w:rFonts w:hint="eastAsia" w:ascii="宋体" w:hAnsi="宋体"/>
                <w:color w:val="000000"/>
                <w:kern w:val="0"/>
                <w:sz w:val="20"/>
                <w:szCs w:val="20"/>
              </w:rPr>
              <w:t>结果</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ind w:left="-67" w:leftChars="-33" w:right="-105" w:rightChars="-50" w:hanging="2" w:hangingChars="1"/>
              <w:jc w:val="center"/>
            </w:pPr>
            <w:r>
              <w:rPr>
                <w:rFonts w:hint="eastAsia" w:ascii="宋体" w:hAnsi="宋体"/>
                <w:kern w:val="0"/>
                <w:sz w:val="20"/>
                <w:szCs w:val="20"/>
              </w:rPr>
              <w:t>尚未审结</w:t>
            </w:r>
          </w:p>
        </w:tc>
        <w:tc>
          <w:tcPr>
            <w:tcW w:w="606" w:type="dxa"/>
            <w:tcBorders>
              <w:top w:val="single" w:color="auto" w:sz="8" w:space="0"/>
              <w:left w:val="nil"/>
              <w:bottom w:val="single" w:color="auto" w:sz="8" w:space="0"/>
              <w:right w:val="single" w:color="auto" w:sz="8" w:space="0"/>
            </w:tcBorders>
            <w:tcMar>
              <w:left w:w="108" w:type="dxa"/>
              <w:right w:w="108" w:type="dxa"/>
            </w:tcMar>
            <w:vAlign w:val="center"/>
          </w:tcPr>
          <w:p>
            <w:pPr>
              <w:widowControl/>
              <w:jc w:val="center"/>
            </w:pPr>
            <w:r>
              <w:rPr>
                <w:rFonts w:hint="eastAsia" w:ascii="宋体" w:hAnsi="宋体"/>
                <w:color w:val="000000"/>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4"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58"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550"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5"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6" w:type="dxa"/>
            <w:tcBorders>
              <w:top w:val="nil"/>
              <w:left w:val="nil"/>
              <w:bottom w:val="single" w:color="auto" w:sz="8" w:space="0"/>
              <w:right w:val="single" w:color="auto" w:sz="8" w:space="0"/>
            </w:tcBorders>
            <w:tcMar>
              <w:left w:w="108" w:type="dxa"/>
              <w:right w:w="108" w:type="dxa"/>
            </w:tcMar>
            <w:vAlign w:val="center"/>
          </w:tcPr>
          <w:p>
            <w:pPr>
              <w:widowControl/>
              <w:spacing w:before="156" w:beforeLines="50" w:after="180"/>
              <w:jc w:val="center"/>
            </w:pPr>
            <w:r>
              <w:rPr>
                <w:rFonts w:hint="eastAsia"/>
              </w:rPr>
              <w:t>0</w:t>
            </w:r>
          </w:p>
        </w:tc>
        <w:tc>
          <w:tcPr>
            <w:tcW w:w="606" w:type="dxa"/>
            <w:tcBorders>
              <w:top w:val="nil"/>
              <w:left w:val="nil"/>
              <w:bottom w:val="single" w:color="auto" w:sz="8" w:space="0"/>
              <w:right w:val="single" w:color="auto" w:sz="8" w:space="0"/>
            </w:tcBorders>
            <w:tcMar>
              <w:left w:w="108" w:type="dxa"/>
              <w:right w:w="108" w:type="dxa"/>
            </w:tcMar>
            <w:vAlign w:val="center"/>
          </w:tcPr>
          <w:p>
            <w:pPr>
              <w:jc w:val="center"/>
              <w:rPr>
                <w:rFonts w:ascii="宋体"/>
                <w:sz w:val="24"/>
              </w:rPr>
            </w:pPr>
            <w:r>
              <w:rPr>
                <w:rFonts w:hint="eastAsia"/>
              </w:rPr>
              <w:t>0</w:t>
            </w:r>
          </w:p>
        </w:tc>
      </w:tr>
    </w:tbl>
    <w:p>
      <w:pPr>
        <w:widowControl/>
        <w:shd w:val="clear" w:color="auto" w:fill="FFFFFF"/>
        <w:rPr>
          <w:rFonts w:ascii="宋体" w:hAnsi="宋体"/>
          <w:color w:val="333333"/>
          <w:sz w:val="24"/>
        </w:rPr>
      </w:pPr>
    </w:p>
    <w:p>
      <w:pPr>
        <w:pStyle w:val="6"/>
        <w:widowControl/>
        <w:shd w:val="clear" w:color="auto" w:fill="FFFFFF"/>
        <w:spacing w:beforeAutospacing="0" w:afterAutospacing="0"/>
        <w:ind w:firstLine="420"/>
        <w:jc w:val="both"/>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五、存在的主要问题及改进情况</w:t>
      </w:r>
    </w:p>
    <w:p>
      <w:pPr>
        <w:widowControl/>
        <w:spacing w:line="600" w:lineRule="exact"/>
        <w:ind w:firstLine="643" w:firstLineChars="200"/>
        <w:rPr>
          <w:rFonts w:ascii="楷体_GB2312" w:hAnsi="宋体" w:eastAsia="楷体_GB2312"/>
          <w:b/>
          <w:kern w:val="0"/>
          <w:sz w:val="32"/>
          <w:szCs w:val="32"/>
        </w:rPr>
      </w:pPr>
      <w:r>
        <w:rPr>
          <w:rFonts w:hint="eastAsia" w:ascii="楷体_GB2312" w:hAnsi="宋体" w:eastAsia="楷体_GB2312"/>
          <w:b/>
          <w:kern w:val="0"/>
          <w:sz w:val="32"/>
          <w:szCs w:val="32"/>
        </w:rPr>
        <w:t>（一）2020年问题整改情况。</w:t>
      </w:r>
    </w:p>
    <w:p>
      <w:pPr>
        <w:widowControl/>
        <w:spacing w:line="600" w:lineRule="exact"/>
        <w:ind w:firstLine="640" w:firstLineChars="200"/>
        <w:rPr>
          <w:rFonts w:ascii="仿宋_GB2312" w:hAnsi="宋体" w:eastAsia="仿宋_GB2312"/>
          <w:kern w:val="0"/>
          <w:sz w:val="32"/>
          <w:szCs w:val="32"/>
        </w:rPr>
      </w:pPr>
      <w:r>
        <w:rPr>
          <w:rFonts w:hint="eastAsia" w:ascii="仿宋_GB2312" w:hAnsi="宋体" w:eastAsia="仿宋_GB2312"/>
          <w:kern w:val="0"/>
          <w:sz w:val="32"/>
          <w:szCs w:val="32"/>
        </w:rPr>
        <w:t>一是对社会工作普遍关心、涉及群众切身利益的危房改造、城区居民饮水安全状况及时进行公开，进一步提升政务公开信息的质量。二是结合住建工作实际及时对住建工作动态及上级有关住建方面的政策等信息，通过“昌乐住建局”微信公众号及时进行公开。</w:t>
      </w:r>
    </w:p>
    <w:p>
      <w:pPr>
        <w:widowControl/>
        <w:spacing w:line="600" w:lineRule="exact"/>
        <w:ind w:firstLine="643" w:firstLineChars="200"/>
        <w:rPr>
          <w:rFonts w:ascii="楷体_GB2312" w:hAnsi="宋体" w:eastAsia="楷体_GB2312"/>
          <w:b/>
          <w:kern w:val="0"/>
          <w:sz w:val="32"/>
          <w:szCs w:val="32"/>
        </w:rPr>
      </w:pPr>
      <w:r>
        <w:rPr>
          <w:rFonts w:hint="eastAsia" w:ascii="楷体_GB2312" w:hAnsi="宋体" w:eastAsia="楷体_GB2312"/>
          <w:b/>
          <w:kern w:val="0"/>
          <w:sz w:val="32"/>
          <w:szCs w:val="32"/>
        </w:rPr>
        <w:t>（二）2021年存在的主要问题。</w:t>
      </w:r>
    </w:p>
    <w:p>
      <w:pPr>
        <w:widowControl/>
        <w:spacing w:line="600" w:lineRule="exact"/>
        <w:ind w:firstLine="640" w:firstLineChars="200"/>
        <w:rPr>
          <w:rFonts w:ascii="仿宋_GB2312" w:hAnsi="宋体" w:eastAsia="仿宋_GB2312"/>
          <w:kern w:val="0"/>
          <w:sz w:val="32"/>
          <w:szCs w:val="32"/>
        </w:rPr>
      </w:pPr>
      <w:r>
        <w:rPr>
          <w:rFonts w:hint="eastAsia" w:ascii="仿宋_GB2312" w:hAnsi="宋体" w:eastAsia="仿宋_GB2312"/>
          <w:bCs/>
          <w:kern w:val="0"/>
          <w:sz w:val="32"/>
          <w:szCs w:val="32"/>
        </w:rPr>
        <w:t>一是对政务公开新要求学习不够深入。《政府信息公开条例》修订后，对政府信息公开工作提出了新要求，在这种情况下，对政府信息公开工作的培训没有积极跟上，政府信息公开工作人员对其系统性认识不够深刻，工作能力有待加强。二是政务公开力度需进一步加大。主动公开目录不够全面和细化，公开内容不够全面、详细，重点领域信息公开需要进一步强化。</w:t>
      </w:r>
    </w:p>
    <w:p>
      <w:pPr>
        <w:widowControl/>
        <w:spacing w:line="600" w:lineRule="exact"/>
        <w:ind w:firstLine="643" w:firstLineChars="200"/>
        <w:rPr>
          <w:rFonts w:ascii="楷体_GB2312" w:hAnsi="宋体" w:eastAsia="楷体_GB2312"/>
          <w:b/>
          <w:kern w:val="0"/>
          <w:sz w:val="32"/>
          <w:szCs w:val="32"/>
        </w:rPr>
      </w:pPr>
      <w:r>
        <w:rPr>
          <w:rFonts w:hint="eastAsia" w:ascii="楷体_GB2312" w:hAnsi="宋体" w:eastAsia="楷体_GB2312"/>
          <w:b/>
          <w:kern w:val="0"/>
          <w:sz w:val="32"/>
          <w:szCs w:val="32"/>
        </w:rPr>
        <w:t>（三）改进措施。</w:t>
      </w:r>
    </w:p>
    <w:p>
      <w:pPr>
        <w:widowControl/>
        <w:spacing w:line="600" w:lineRule="exact"/>
        <w:ind w:firstLine="640" w:firstLineChars="200"/>
        <w:rPr>
          <w:rFonts w:ascii="仿宋_GB2312" w:hAnsi="宋体" w:eastAsia="仿宋_GB2312"/>
          <w:kern w:val="0"/>
          <w:sz w:val="32"/>
          <w:szCs w:val="32"/>
        </w:rPr>
      </w:pPr>
      <w:r>
        <w:rPr>
          <w:rFonts w:hint="eastAsia" w:ascii="仿宋_GB2312" w:hAnsi="宋体" w:eastAsia="仿宋_GB2312"/>
          <w:bCs/>
          <w:kern w:val="0"/>
          <w:sz w:val="32"/>
          <w:szCs w:val="32"/>
        </w:rPr>
        <w:t>一是强化公开队伍建设与培训。强化政府信息公开工作人员队伍建设，局办公室牵头，各科室配备一名政府信息公开工作专管员；强化政府信息公开工作培训，切实提高工作人员对政府信息公开工作的认识水平和工作能力。二是完善主动公开目录。细化住建局政府信息公开目录，着力强化重点领域信息公开力度，突出做好政府工作报告、重大建设项目等领域信息公开工作。</w:t>
      </w:r>
    </w:p>
    <w:p>
      <w:pPr>
        <w:pStyle w:val="6"/>
        <w:widowControl/>
        <w:shd w:val="clear" w:color="auto" w:fill="FFFFFF"/>
        <w:spacing w:beforeAutospacing="0" w:afterAutospacing="0"/>
        <w:ind w:firstLine="420"/>
        <w:jc w:val="both"/>
        <w:rPr>
          <w:rFonts w:ascii="黑体" w:hAnsi="黑体" w:eastAsia="黑体" w:cs="宋体"/>
          <w:color w:val="333333"/>
          <w:sz w:val="32"/>
          <w:szCs w:val="32"/>
        </w:rPr>
      </w:pPr>
      <w:r>
        <w:rPr>
          <w:rFonts w:hint="eastAsia" w:ascii="黑体" w:hAnsi="黑体" w:eastAsia="黑体" w:cs="宋体"/>
          <w:color w:val="333333"/>
          <w:sz w:val="32"/>
          <w:szCs w:val="32"/>
          <w:shd w:val="clear" w:color="auto" w:fill="FFFFFF"/>
        </w:rPr>
        <w:t>六、其他需要报告的事项</w:t>
      </w:r>
    </w:p>
    <w:p>
      <w:pPr>
        <w:widowControl/>
        <w:spacing w:line="600" w:lineRule="exact"/>
        <w:ind w:firstLine="643" w:firstLineChars="200"/>
        <w:rPr>
          <w:rFonts w:ascii="楷体_GB2312" w:eastAsia="楷体_GB2312" w:cs="楷体_GB2312"/>
          <w:i w:val="0"/>
          <w:iCs w:val="0"/>
          <w:caps w:val="0"/>
          <w:color w:val="000000"/>
          <w:spacing w:val="0"/>
          <w:sz w:val="32"/>
          <w:szCs w:val="32"/>
        </w:rPr>
      </w:pPr>
      <w:r>
        <w:rPr>
          <w:rFonts w:hint="eastAsia" w:ascii="楷体_GB2312" w:hAnsi="宋体" w:eastAsia="楷体_GB2312"/>
          <w:b/>
          <w:kern w:val="0"/>
          <w:sz w:val="32"/>
          <w:szCs w:val="32"/>
        </w:rPr>
        <w:t>（一）收取信息处理费情况。</w:t>
      </w:r>
      <w:r>
        <w:rPr>
          <w:rFonts w:hint="eastAsia" w:ascii="仿宋_GB2312" w:hAnsi="宋体" w:eastAsia="仿宋_GB2312"/>
          <w:kern w:val="0"/>
          <w:sz w:val="32"/>
          <w:szCs w:val="32"/>
        </w:rPr>
        <w:t>2021年，我局未收取信息处理费。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楷体_GB2312" w:eastAsia="楷体_GB2312" w:cs="楷体_GB2312"/>
          <w:i w:val="0"/>
          <w:iCs w:val="0"/>
          <w:caps w:val="0"/>
          <w:color w:val="000000"/>
          <w:spacing w:val="0"/>
          <w:sz w:val="32"/>
          <w:szCs w:val="32"/>
        </w:rPr>
      </w:pPr>
      <w:r>
        <w:rPr>
          <w:rFonts w:hint="eastAsia" w:ascii="楷体_GB2312" w:hAnsi="Calibri" w:eastAsia="楷体_GB2312" w:cs="楷体_GB2312"/>
          <w:b/>
          <w:bCs/>
          <w:i w:val="0"/>
          <w:iCs w:val="0"/>
          <w:caps w:val="0"/>
          <w:color w:val="000000"/>
          <w:spacing w:val="0"/>
          <w:kern w:val="0"/>
          <w:sz w:val="32"/>
          <w:szCs w:val="32"/>
          <w:bdr w:val="none" w:color="auto" w:sz="0" w:space="0"/>
          <w:shd w:val="clear" w:fill="FFFFFF"/>
          <w:lang w:val="en-US" w:eastAsia="zh-CN" w:bidi="ar"/>
        </w:rPr>
        <w:t>（二）上级年度政务公开工作要点落实情况。</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根</w:t>
      </w:r>
      <w:bookmarkStart w:id="0" w:name="_GoBack"/>
      <w:bookmarkEnd w:id="0"/>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据《2021年昌乐县政务公开重点工作任务分工》安排，涉及</w:t>
      </w:r>
      <w:r>
        <w:rPr>
          <w:rFonts w:hint="eastAsia" w:ascii="仿宋_GB2312" w:eastAsia="仿宋_GB2312" w:cs="仿宋_GB2312"/>
          <w:i w:val="0"/>
          <w:iCs w:val="0"/>
          <w:caps w:val="0"/>
          <w:color w:val="000000"/>
          <w:spacing w:val="0"/>
          <w:kern w:val="0"/>
          <w:sz w:val="32"/>
          <w:szCs w:val="32"/>
          <w:bdr w:val="none" w:color="auto" w:sz="0" w:space="0"/>
          <w:shd w:val="clear" w:fill="FFFFFF"/>
          <w:lang w:val="en-US" w:eastAsia="zh-CN" w:bidi="ar"/>
        </w:rPr>
        <w:t>我局</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责任事项已全部落实到位。</w:t>
      </w:r>
    </w:p>
    <w:p>
      <w:pPr>
        <w:widowControl/>
        <w:spacing w:line="600" w:lineRule="exact"/>
        <w:ind w:firstLine="643" w:firstLineChars="200"/>
        <w:rPr>
          <w:rFonts w:hint="eastAsia" w:ascii="楷体_GB2312" w:eastAsia="楷体_GB2312" w:cs="楷体_GB2312"/>
          <w:i w:val="0"/>
          <w:iCs w:val="0"/>
          <w:caps w:val="0"/>
          <w:color w:val="000000"/>
          <w:spacing w:val="0"/>
          <w:sz w:val="32"/>
          <w:szCs w:val="32"/>
        </w:rPr>
      </w:pPr>
      <w:r>
        <w:rPr>
          <w:rFonts w:hint="eastAsia" w:ascii="楷体_GB2312" w:hAnsi="Calibri" w:eastAsia="楷体_GB2312" w:cs="楷体_GB2312"/>
          <w:b/>
          <w:bCs/>
          <w:i w:val="0"/>
          <w:iCs w:val="0"/>
          <w:caps w:val="0"/>
          <w:color w:val="000000"/>
          <w:spacing w:val="0"/>
          <w:kern w:val="0"/>
          <w:sz w:val="32"/>
          <w:szCs w:val="32"/>
          <w:shd w:val="clear" w:fill="FFFFFF"/>
          <w:lang w:val="en-US" w:eastAsia="zh-CN" w:bidi="ar"/>
        </w:rPr>
        <w:t>（三）人大代表建议和政协提案办理情况。</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2021年，</w:t>
      </w:r>
      <w:r>
        <w:rPr>
          <w:rFonts w:hint="eastAsia" w:ascii="仿宋_GB2312" w:hAnsi="宋体" w:eastAsia="仿宋_GB2312"/>
          <w:kern w:val="0"/>
          <w:sz w:val="32"/>
          <w:szCs w:val="32"/>
        </w:rPr>
        <w:t>我局</w:t>
      </w:r>
      <w:r>
        <w:rPr>
          <w:rFonts w:ascii="仿宋_GB2312" w:hAnsi="宋体" w:eastAsia="仿宋_GB2312"/>
          <w:kern w:val="0"/>
          <w:sz w:val="32"/>
          <w:szCs w:val="32"/>
        </w:rPr>
        <w:t>共承办人大建议、政协提案</w:t>
      </w:r>
      <w:r>
        <w:rPr>
          <w:rFonts w:hint="eastAsia" w:ascii="仿宋_GB2312" w:hAnsi="宋体" w:eastAsia="仿宋_GB2312"/>
          <w:kern w:val="0"/>
          <w:sz w:val="32"/>
          <w:szCs w:val="32"/>
        </w:rPr>
        <w:t>39</w:t>
      </w:r>
      <w:r>
        <w:rPr>
          <w:rFonts w:ascii="仿宋_GB2312" w:hAnsi="宋体" w:eastAsia="仿宋_GB2312"/>
          <w:kern w:val="0"/>
          <w:sz w:val="32"/>
          <w:szCs w:val="32"/>
        </w:rPr>
        <w:t>件，其中人大代表建议</w:t>
      </w:r>
      <w:r>
        <w:rPr>
          <w:rFonts w:hint="eastAsia" w:ascii="仿宋_GB2312" w:hAnsi="宋体" w:eastAsia="仿宋_GB2312"/>
          <w:kern w:val="0"/>
          <w:sz w:val="32"/>
          <w:szCs w:val="32"/>
        </w:rPr>
        <w:t>19</w:t>
      </w:r>
      <w:r>
        <w:rPr>
          <w:rFonts w:ascii="仿宋_GB2312" w:hAnsi="宋体" w:eastAsia="仿宋_GB2312"/>
          <w:kern w:val="0"/>
          <w:sz w:val="32"/>
          <w:szCs w:val="32"/>
        </w:rPr>
        <w:t>件，政协委员提案</w:t>
      </w:r>
      <w:r>
        <w:rPr>
          <w:rFonts w:hint="eastAsia" w:ascii="仿宋_GB2312" w:hAnsi="宋体" w:eastAsia="仿宋_GB2312"/>
          <w:kern w:val="0"/>
          <w:sz w:val="32"/>
          <w:szCs w:val="32"/>
        </w:rPr>
        <w:t>20</w:t>
      </w:r>
      <w:r>
        <w:rPr>
          <w:rFonts w:ascii="仿宋_GB2312" w:hAnsi="宋体" w:eastAsia="仿宋_GB2312"/>
          <w:kern w:val="0"/>
          <w:sz w:val="32"/>
          <w:szCs w:val="32"/>
        </w:rPr>
        <w:t>件，人大代表、政协委员满意率和见面答复率均为100%</w:t>
      </w:r>
      <w:r>
        <w:rPr>
          <w:rFonts w:hint="eastAsia" w:ascii="仿宋_GB2312" w:hAnsi="宋体" w:eastAsia="仿宋_GB2312"/>
          <w:kern w:val="0"/>
          <w:sz w:val="32"/>
          <w:szCs w:val="32"/>
        </w:rPr>
        <w:t>，</w:t>
      </w:r>
      <w:r>
        <w:rPr>
          <w:rFonts w:ascii="仿宋_GB2312" w:hAnsi="宋体" w:eastAsia="仿宋_GB2312"/>
          <w:kern w:val="0"/>
          <w:sz w:val="32"/>
          <w:szCs w:val="32"/>
        </w:rPr>
        <w:t>已</w:t>
      </w:r>
      <w:r>
        <w:rPr>
          <w:rFonts w:hint="eastAsia" w:ascii="仿宋_GB2312" w:hAnsi="宋体" w:eastAsia="仿宋_GB2312"/>
          <w:kern w:val="0"/>
          <w:sz w:val="32"/>
          <w:szCs w:val="32"/>
        </w:rPr>
        <w:t>在政府网站进行了公开</w:t>
      </w:r>
      <w:r>
        <w:rPr>
          <w:rFonts w:ascii="仿宋_GB2312" w:hAnsi="宋体" w:eastAsia="仿宋_GB2312"/>
          <w:kern w:val="0"/>
          <w:sz w:val="32"/>
          <w:szCs w:val="32"/>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仿宋_GB2312" w:hAnsi="宋体" w:eastAsia="仿宋_GB2312"/>
          <w:kern w:val="0"/>
          <w:sz w:val="32"/>
          <w:szCs w:val="32"/>
        </w:rPr>
      </w:pPr>
      <w:r>
        <w:rPr>
          <w:rFonts w:hint="eastAsia" w:ascii="楷体_GB2312" w:hAnsi="Calibri" w:eastAsia="楷体_GB2312" w:cs="楷体_GB2312"/>
          <w:b/>
          <w:bCs/>
          <w:i w:val="0"/>
          <w:iCs w:val="0"/>
          <w:caps w:val="0"/>
          <w:color w:val="000000"/>
          <w:spacing w:val="0"/>
          <w:kern w:val="0"/>
          <w:sz w:val="32"/>
          <w:szCs w:val="32"/>
          <w:shd w:val="clear" w:fill="FFFFFF"/>
          <w:lang w:val="en-US" w:eastAsia="zh-CN" w:bidi="ar"/>
        </w:rPr>
        <w:t>（四）年度政务公开工作创新情况。</w:t>
      </w:r>
      <w:r>
        <w:rPr>
          <w:rFonts w:ascii="仿宋_GB2312" w:hAnsi="宋体" w:eastAsia="仿宋_GB2312"/>
          <w:kern w:val="0"/>
          <w:sz w:val="32"/>
          <w:szCs w:val="32"/>
        </w:rPr>
        <w:t>我局组织开展</w:t>
      </w:r>
      <w:r>
        <w:rPr>
          <w:rFonts w:hint="eastAsia" w:ascii="仿宋_GB2312" w:hAnsi="宋体" w:eastAsia="仿宋_GB2312"/>
          <w:kern w:val="0"/>
          <w:sz w:val="32"/>
          <w:szCs w:val="32"/>
        </w:rPr>
        <w:t>“政府开放月”等活动，</w:t>
      </w:r>
      <w:r>
        <w:rPr>
          <w:rFonts w:hint="eastAsia" w:ascii="仿宋_GB2312" w:hAnsi="宋体" w:eastAsia="仿宋_GB2312"/>
          <w:kern w:val="0"/>
          <w:sz w:val="32"/>
          <w:szCs w:val="32"/>
          <w:lang w:eastAsia="zh-CN"/>
        </w:rPr>
        <w:t>组织代表到建筑工地现场了解建筑工程质量、安全生产、农民工工资清欠等工作。开展“先验房、后收房”活动，组织群众交房前到项目现场查看工程质量等，</w:t>
      </w:r>
      <w:r>
        <w:rPr>
          <w:rFonts w:hint="eastAsia" w:ascii="仿宋_GB2312" w:hAnsi="宋体" w:eastAsia="仿宋_GB2312"/>
          <w:kern w:val="0"/>
          <w:sz w:val="32"/>
          <w:szCs w:val="32"/>
        </w:rPr>
        <w:t>进一步拉近与群众的距离</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lang w:val="en-US" w:eastAsia="zh-CN"/>
        </w:rPr>
        <w:t>提高群众对我县住宅工程建筑质量满意度</w:t>
      </w:r>
      <w:r>
        <w:rPr>
          <w:rFonts w:hint="eastAsia" w:ascii="仿宋_GB2312" w:hAnsi="宋体" w:eastAsia="仿宋_GB2312"/>
          <w:kern w:val="0"/>
          <w:sz w:val="32"/>
          <w:szCs w:val="32"/>
          <w:lang w:eastAsia="zh-CN"/>
        </w:rPr>
        <w:t>。通过局公众号适时宣传住建工作动态、相关法律政策等。</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楷体_GB2312" w:eastAsia="楷体_GB2312" w:cs="楷体_GB2312"/>
          <w:i w:val="0"/>
          <w:iCs w:val="0"/>
          <w:caps w:val="0"/>
          <w:color w:val="000000"/>
          <w:spacing w:val="0"/>
          <w:sz w:val="32"/>
          <w:szCs w:val="32"/>
        </w:rPr>
      </w:pPr>
      <w:r>
        <w:rPr>
          <w:rFonts w:hint="eastAsia" w:ascii="楷体_GB2312" w:hAnsi="Calibri" w:eastAsia="楷体_GB2312" w:cs="楷体_GB2312"/>
          <w:b/>
          <w:bCs/>
          <w:i w:val="0"/>
          <w:iCs w:val="0"/>
          <w:caps w:val="0"/>
          <w:color w:val="000000"/>
          <w:spacing w:val="0"/>
          <w:kern w:val="0"/>
          <w:sz w:val="32"/>
          <w:szCs w:val="32"/>
          <w:shd w:val="clear" w:fill="FFFFFF"/>
          <w:lang w:val="en-US" w:eastAsia="zh-CN" w:bidi="ar"/>
        </w:rPr>
        <w:t>（五）报告数据统计说明。</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本报告所列数据统计期限为2021年1月1日至2021年12月31日。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楷体_GB2312" w:eastAsia="楷体_GB2312" w:cs="楷体_GB2312"/>
          <w:i w:val="0"/>
          <w:iCs w:val="0"/>
          <w:caps w:val="0"/>
          <w:color w:val="000000"/>
          <w:spacing w:val="0"/>
          <w:sz w:val="32"/>
          <w:szCs w:val="32"/>
        </w:rPr>
      </w:pPr>
      <w:r>
        <w:rPr>
          <w:rFonts w:hint="eastAsia" w:ascii="楷体_GB2312" w:hAnsi="Calibri" w:eastAsia="楷体_GB2312" w:cs="楷体_GB2312"/>
          <w:b/>
          <w:bCs/>
          <w:i w:val="0"/>
          <w:iCs w:val="0"/>
          <w:caps w:val="0"/>
          <w:color w:val="000000"/>
          <w:spacing w:val="0"/>
          <w:kern w:val="0"/>
          <w:sz w:val="32"/>
          <w:szCs w:val="32"/>
          <w:shd w:val="clear" w:fill="FFFFFF"/>
          <w:lang w:val="en-US" w:eastAsia="zh-CN" w:bidi="ar"/>
        </w:rPr>
        <w:t>（六）本行政机关认为需要报告的其他事项。</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无。</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78" w:lineRule="atLeast"/>
        <w:ind w:left="0" w:right="0" w:firstLine="640"/>
        <w:jc w:val="left"/>
        <w:rPr>
          <w:rFonts w:hint="eastAsia" w:ascii="楷体_GB2312" w:eastAsia="楷体_GB2312" w:cs="楷体_GB2312"/>
          <w:i w:val="0"/>
          <w:iCs w:val="0"/>
          <w:caps w:val="0"/>
          <w:color w:val="000000"/>
          <w:spacing w:val="0"/>
          <w:sz w:val="32"/>
          <w:szCs w:val="32"/>
        </w:rPr>
      </w:pPr>
      <w:r>
        <w:rPr>
          <w:rFonts w:hint="eastAsia" w:ascii="楷体_GB2312" w:hAnsi="Calibri" w:eastAsia="楷体_GB2312" w:cs="楷体_GB2312"/>
          <w:b/>
          <w:bCs/>
          <w:i w:val="0"/>
          <w:iCs w:val="0"/>
          <w:caps w:val="0"/>
          <w:color w:val="000000"/>
          <w:spacing w:val="0"/>
          <w:kern w:val="0"/>
          <w:sz w:val="32"/>
          <w:szCs w:val="32"/>
          <w:shd w:val="clear" w:fill="FFFFFF"/>
          <w:lang w:val="en-US" w:eastAsia="zh-CN" w:bidi="ar"/>
        </w:rPr>
        <w:t>（七）其他有关文件专门要求报告的事项。</w:t>
      </w:r>
      <w:r>
        <w:rPr>
          <w:rFonts w:hint="eastAsia" w:ascii="仿宋_GB2312" w:hAnsi="Calibri" w:eastAsia="仿宋_GB2312" w:cs="仿宋_GB2312"/>
          <w:i w:val="0"/>
          <w:iCs w:val="0"/>
          <w:caps w:val="0"/>
          <w:color w:val="000000"/>
          <w:spacing w:val="0"/>
          <w:kern w:val="0"/>
          <w:sz w:val="32"/>
          <w:szCs w:val="32"/>
          <w:bdr w:val="none" w:color="auto" w:sz="0" w:space="0"/>
          <w:shd w:val="clear" w:fill="FFFFFF"/>
          <w:lang w:val="en-US" w:eastAsia="zh-CN" w:bidi="ar"/>
        </w:rPr>
        <w:t>无。</w:t>
      </w:r>
    </w:p>
    <w:p>
      <w:pPr>
        <w:pStyle w:val="6"/>
        <w:widowControl/>
        <w:shd w:val="clear" w:color="auto" w:fill="FFFFFF"/>
        <w:spacing w:beforeAutospacing="0" w:afterAutospacing="0"/>
        <w:ind w:firstLine="420"/>
        <w:jc w:val="both"/>
        <w:rPr>
          <w:rFonts w:ascii="仿宋_GB2312" w:hAnsi="宋体" w:eastAsia="仿宋_GB2312" w:cs="宋体"/>
          <w:color w:val="333333"/>
          <w:sz w:val="32"/>
          <w:szCs w:val="32"/>
          <w:shd w:val="clear" w:color="auto" w:fill="FFFFFF"/>
        </w:rPr>
      </w:pPr>
    </w:p>
    <w:p>
      <w:pPr>
        <w:pStyle w:val="6"/>
        <w:widowControl/>
        <w:shd w:val="clear" w:color="auto" w:fill="FFFFFF"/>
        <w:spacing w:beforeAutospacing="0" w:afterAutospacing="0"/>
        <w:ind w:firstLine="420"/>
        <w:jc w:val="both"/>
        <w:rPr>
          <w:rFonts w:ascii="仿宋_GB2312" w:hAnsi="宋体" w:eastAsia="仿宋_GB2312" w:cs="宋体"/>
          <w:color w:val="333333"/>
          <w:sz w:val="32"/>
          <w:szCs w:val="32"/>
          <w:shd w:val="clear" w:color="auto" w:fill="FFFFFF"/>
        </w:rPr>
      </w:pPr>
    </w:p>
    <w:p>
      <w:pPr>
        <w:pStyle w:val="6"/>
        <w:widowControl/>
        <w:shd w:val="clear" w:color="auto" w:fill="FFFFFF"/>
        <w:spacing w:beforeAutospacing="0" w:afterAutospacing="0"/>
        <w:ind w:firstLine="420"/>
        <w:jc w:val="both"/>
        <w:rPr>
          <w:rFonts w:ascii="仿宋_GB2312" w:hAnsi="宋体" w:eastAsia="仿宋_GB2312" w:cs="宋体"/>
          <w:color w:val="333333"/>
          <w:sz w:val="32"/>
          <w:szCs w:val="32"/>
          <w:shd w:val="clear" w:color="auto" w:fill="FFFFFF"/>
        </w:rPr>
      </w:pPr>
    </w:p>
    <w:p>
      <w:pPr>
        <w:pStyle w:val="6"/>
        <w:widowControl/>
        <w:shd w:val="clear" w:color="auto" w:fill="FFFFFF"/>
        <w:spacing w:beforeAutospacing="0" w:afterAutospacing="0"/>
        <w:ind w:firstLine="420"/>
        <w:jc w:val="both"/>
        <w:rPr>
          <w:rFonts w:ascii="仿宋_GB2312" w:hAnsi="宋体" w:eastAsia="仿宋_GB2312" w:cs="宋体"/>
          <w:color w:val="333333"/>
          <w:sz w:val="32"/>
          <w:szCs w:val="32"/>
          <w:shd w:val="clear" w:color="auto" w:fill="FFFFFF"/>
        </w:rPr>
      </w:pPr>
    </w:p>
    <w:p>
      <w:pPr>
        <w:pStyle w:val="6"/>
        <w:widowControl/>
        <w:shd w:val="clear" w:color="auto" w:fill="FFFFFF"/>
        <w:spacing w:beforeAutospacing="0" w:afterAutospacing="0"/>
        <w:ind w:firstLine="420"/>
        <w:jc w:val="right"/>
        <w:rPr>
          <w:rFonts w:ascii="仿宋_GB2312" w:hAnsi="宋体" w:eastAsia="仿宋_GB2312" w:cs="宋体"/>
          <w:color w:val="333333"/>
          <w:sz w:val="32"/>
          <w:szCs w:val="32"/>
          <w:shd w:val="clear" w:color="auto" w:fill="FFFFFF"/>
        </w:rPr>
      </w:pPr>
      <w:r>
        <w:rPr>
          <w:rFonts w:hint="eastAsia" w:ascii="仿宋_GB2312" w:hAnsi="宋体" w:eastAsia="仿宋_GB2312" w:cs="宋体"/>
          <w:color w:val="333333"/>
          <w:sz w:val="32"/>
          <w:szCs w:val="32"/>
          <w:shd w:val="clear" w:color="auto" w:fill="FFFFFF"/>
        </w:rPr>
        <w:t>昌乐县住房和城乡建设局</w:t>
      </w:r>
    </w:p>
    <w:p>
      <w:pPr>
        <w:pStyle w:val="6"/>
        <w:widowControl/>
        <w:shd w:val="clear" w:color="auto" w:fill="FFFFFF"/>
        <w:spacing w:beforeAutospacing="0" w:afterAutospacing="0"/>
        <w:ind w:firstLine="420"/>
        <w:jc w:val="right"/>
        <w:rPr>
          <w:rFonts w:ascii="仿宋_GB2312" w:hAnsi="宋体" w:eastAsia="仿宋_GB2312" w:cs="宋体"/>
          <w:color w:val="333333"/>
          <w:sz w:val="32"/>
          <w:szCs w:val="32"/>
        </w:rPr>
      </w:pPr>
      <w:r>
        <w:rPr>
          <w:rFonts w:hint="eastAsia" w:ascii="仿宋_GB2312" w:hAnsi="宋体" w:eastAsia="仿宋_GB2312" w:cs="宋体"/>
          <w:color w:val="333333"/>
          <w:sz w:val="32"/>
          <w:szCs w:val="32"/>
          <w:shd w:val="clear" w:color="auto" w:fill="FFFFFF"/>
        </w:rPr>
        <w:t>2022年1月</w:t>
      </w:r>
      <w:r>
        <w:rPr>
          <w:rFonts w:ascii="仿宋_GB2312" w:hAnsi="宋体" w:eastAsia="仿宋_GB2312" w:cs="宋体"/>
          <w:color w:val="333333"/>
          <w:sz w:val="32"/>
          <w:szCs w:val="32"/>
          <w:shd w:val="clear" w:color="auto" w:fill="FFFFFF"/>
        </w:rPr>
        <w:t>24</w:t>
      </w:r>
      <w:r>
        <w:rPr>
          <w:rFonts w:hint="eastAsia" w:ascii="仿宋_GB2312" w:hAnsi="宋体" w:eastAsia="仿宋_GB2312" w:cs="宋体"/>
          <w:color w:val="333333"/>
          <w:sz w:val="32"/>
          <w:szCs w:val="32"/>
          <w:shd w:val="clear" w:color="auto" w:fill="FFFFFF"/>
        </w:rPr>
        <w:t>日</w:t>
      </w:r>
    </w:p>
    <w:sectPr>
      <w:footerReference r:id="rId3" w:type="default"/>
      <w:pgSz w:w="11906" w:h="16838"/>
      <w:pgMar w:top="1814"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40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409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zSVju0AAAAAUBAAAPAAAAAAAAAAEAIAAAACIAAABkcnMvZG93bnJldi54bWxQSwECFAAU&#10;AAAACACHTuJApp7U1MABAACbAwAADgAAAAAAAAABACAAAAAfAQAAZHJzL2Uyb0RvYy54bWxQSwUG&#10;AAAAAAYABgBZAQAAU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024"/>
    <w:rsid w:val="0020137C"/>
    <w:rsid w:val="004A5BE0"/>
    <w:rsid w:val="005F462A"/>
    <w:rsid w:val="0080680A"/>
    <w:rsid w:val="00A66024"/>
    <w:rsid w:val="00BE3693"/>
    <w:rsid w:val="00D261E0"/>
    <w:rsid w:val="00D30672"/>
    <w:rsid w:val="00D52D33"/>
    <w:rsid w:val="00DE336F"/>
    <w:rsid w:val="00DF0946"/>
    <w:rsid w:val="00E65F89"/>
    <w:rsid w:val="00E73188"/>
    <w:rsid w:val="00F05C53"/>
    <w:rsid w:val="4F891A15"/>
    <w:rsid w:val="77F554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Subtitle"/>
    <w:basedOn w:val="1"/>
    <w:next w:val="1"/>
    <w:link w:val="10"/>
    <w:qFormat/>
    <w:uiPriority w:val="0"/>
    <w:pPr>
      <w:spacing w:before="240" w:after="60" w:line="312" w:lineRule="auto"/>
      <w:jc w:val="center"/>
      <w:outlineLvl w:val="1"/>
    </w:pPr>
    <w:rPr>
      <w:rFonts w:ascii="Calibri Light" w:hAnsi="Calibri Light"/>
      <w:b/>
      <w:bCs/>
      <w:kern w:val="28"/>
      <w:sz w:val="32"/>
      <w:szCs w:val="32"/>
    </w:rPr>
  </w:style>
  <w:style w:type="paragraph" w:styleId="6">
    <w:name w:val="Normal (Web)"/>
    <w:basedOn w:val="1"/>
    <w:qFormat/>
    <w:uiPriority w:val="99"/>
    <w:pPr>
      <w:spacing w:beforeAutospacing="1" w:afterAutospacing="1"/>
      <w:jc w:val="left"/>
    </w:pPr>
    <w:rPr>
      <w:rFonts w:cs="Times New Roman"/>
      <w:kern w:val="0"/>
      <w:sz w:val="24"/>
    </w:rPr>
  </w:style>
  <w:style w:type="character" w:customStyle="1" w:styleId="9">
    <w:name w:val="批注框文本 Char"/>
    <w:basedOn w:val="8"/>
    <w:link w:val="2"/>
    <w:qFormat/>
    <w:uiPriority w:val="0"/>
    <w:rPr>
      <w:rFonts w:ascii="Calibri" w:hAnsi="Calibri" w:eastAsia="宋体" w:cs="宋体"/>
      <w:kern w:val="2"/>
      <w:sz w:val="18"/>
      <w:szCs w:val="18"/>
    </w:rPr>
  </w:style>
  <w:style w:type="character" w:customStyle="1" w:styleId="10">
    <w:name w:val="副标题 Char"/>
    <w:basedOn w:val="8"/>
    <w:link w:val="5"/>
    <w:qFormat/>
    <w:uiPriority w:val="0"/>
    <w:rPr>
      <w:rFonts w:ascii="Calibri Light" w:hAnsi="Calibri Light" w:cs="宋体"/>
      <w:b/>
      <w:bCs/>
      <w:kern w:val="28"/>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8</Pages>
  <Words>2712</Words>
  <Characters>2807</Characters>
  <Lines>20</Lines>
  <Paragraphs>5</Paragraphs>
  <TotalTime>15</TotalTime>
  <ScaleCrop>false</ScaleCrop>
  <LinksUpToDate>false</LinksUpToDate>
  <CharactersWithSpaces>2811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2021-01-08T00:55:00Z</dcterms:created>
  <dc:creator>January</dc:creator>
  <cp:lastModifiedBy>Administrator</cp:lastModifiedBy>
  <cp:lastPrinted>2021-02-05T08:21:00Z</cp:lastPrinted>
  <dcterms:modified xsi:type="dcterms:W3CDTF">2022-03-03T07:27:23Z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CE67C4DA35CB46BBBBDBF9E5DDA54A33</vt:lpwstr>
  </property>
</Properties>
</file>