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600" w:lineRule="exact"/>
        <w:jc w:val="center"/>
        <w:rPr>
          <w:rFonts w:hint="eastAsia" w:ascii="文星标宋" w:hAnsi="文星标宋" w:eastAsia="文星标宋" w:cs="文星标宋"/>
          <w:color w:val="333333"/>
          <w:sz w:val="44"/>
          <w:szCs w:val="44"/>
          <w:shd w:val="clear" w:color="auto" w:fill="FFFFFF"/>
        </w:rPr>
      </w:pPr>
      <w:r>
        <w:rPr>
          <w:rFonts w:hint="eastAsia" w:ascii="文星标宋" w:hAnsi="文星标宋" w:eastAsia="文星标宋" w:cs="文星标宋"/>
          <w:color w:val="333333"/>
          <w:sz w:val="44"/>
          <w:szCs w:val="44"/>
          <w:shd w:val="clear" w:color="auto" w:fill="FFFFFF"/>
        </w:rPr>
        <w:t>昌乐县住房和城乡建设局</w:t>
      </w:r>
    </w:p>
    <w:p>
      <w:pPr>
        <w:pStyle w:val="6"/>
        <w:widowControl/>
        <w:shd w:val="clear" w:color="auto" w:fill="FFFFFF"/>
        <w:spacing w:beforeAutospacing="0" w:afterAutospacing="0" w:line="600" w:lineRule="exact"/>
        <w:jc w:val="center"/>
        <w:rPr>
          <w:rFonts w:hint="eastAsia" w:ascii="文星标宋" w:hAnsi="文星标宋" w:eastAsia="文星标宋" w:cs="文星标宋"/>
          <w:color w:val="333333"/>
        </w:rPr>
      </w:pPr>
      <w:r>
        <w:rPr>
          <w:rFonts w:hint="eastAsia" w:ascii="文星标宋" w:hAnsi="文星标宋" w:eastAsia="文星标宋" w:cs="文星标宋"/>
          <w:color w:val="333333"/>
          <w:sz w:val="44"/>
          <w:szCs w:val="44"/>
          <w:shd w:val="clear" w:color="auto" w:fill="FFFFFF"/>
        </w:rPr>
        <w:t>202</w:t>
      </w:r>
      <w:r>
        <w:rPr>
          <w:rFonts w:hint="eastAsia" w:ascii="文星标宋" w:hAnsi="文星标宋" w:eastAsia="文星标宋" w:cs="文星标宋"/>
          <w:color w:val="333333"/>
          <w:sz w:val="44"/>
          <w:szCs w:val="44"/>
          <w:shd w:val="clear" w:color="auto" w:fill="FFFFFF"/>
          <w:lang w:val="en-US" w:eastAsia="zh-CN"/>
        </w:rPr>
        <w:t>2</w:t>
      </w:r>
      <w:r>
        <w:rPr>
          <w:rFonts w:hint="eastAsia" w:ascii="文星标宋" w:hAnsi="文星标宋" w:eastAsia="文星标宋" w:cs="文星标宋"/>
          <w:color w:val="333333"/>
          <w:sz w:val="44"/>
          <w:szCs w:val="44"/>
          <w:shd w:val="clear" w:color="auto" w:fill="FFFFFF"/>
        </w:rPr>
        <w:t>年政府信息公开工作年度报告</w:t>
      </w:r>
    </w:p>
    <w:p>
      <w:pPr>
        <w:pStyle w:val="6"/>
        <w:widowControl/>
        <w:shd w:val="clear" w:color="auto" w:fill="FFFFFF"/>
        <w:spacing w:beforeAutospacing="0" w:afterAutospacing="0"/>
        <w:ind w:firstLine="420"/>
        <w:jc w:val="both"/>
        <w:rPr>
          <w:rFonts w:ascii="宋体" w:hAnsi="宋体" w:cs="宋体"/>
          <w:color w:val="333333"/>
        </w:rPr>
      </w:pP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根据《中华人民共和国政府信息公开条例》及县政府办公室关于政府信息公开的工作要求，结合县住建局工作实际，编制并向社会公布昌乐县住房和城乡建设局202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年政府信息公开工作年度报告。本年度报告中所列数据统计期限自202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年1月1日起，至202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年12月31日止。如对本报告有疑问，请联系昌乐县住房和城乡建设局办公室，联系电话：0536-6221387。</w:t>
      </w:r>
    </w:p>
    <w:p>
      <w:pPr>
        <w:pStyle w:val="6"/>
        <w:widowControl/>
        <w:shd w:val="clear" w:color="auto" w:fill="FFFFFF"/>
        <w:spacing w:beforeAutospacing="0" w:afterAutospacing="0"/>
        <w:ind w:firstLine="640"/>
        <w:jc w:val="both"/>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一、总体情况</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年，县住建局认真贯彻落实《中华人民共和国政府信息公开条例》相关规定，立足住建工作实际，健全组织机构，</w:t>
      </w:r>
      <w:r>
        <w:rPr>
          <w:rFonts w:hint="eastAsia" w:ascii="仿宋_GB2312" w:hAnsi="宋体" w:eastAsia="仿宋_GB2312"/>
          <w:kern w:val="0"/>
          <w:sz w:val="32"/>
          <w:szCs w:val="32"/>
          <w:lang w:eastAsia="zh-CN"/>
        </w:rPr>
        <w:t>落实责任分工，积极</w:t>
      </w:r>
      <w:r>
        <w:rPr>
          <w:rFonts w:hint="eastAsia" w:ascii="仿宋_GB2312" w:hAnsi="宋体" w:eastAsia="仿宋_GB2312"/>
          <w:kern w:val="0"/>
          <w:sz w:val="32"/>
          <w:szCs w:val="32"/>
        </w:rPr>
        <w:t>开展政府信息公开工作，保障了政府信息公开工作依法、及时、准确、有序地开展。</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（一）主动公开情况。</w:t>
      </w:r>
      <w:r>
        <w:rPr>
          <w:rFonts w:hint="eastAsia" w:ascii="仿宋_GB2312" w:hAnsi="宋体" w:eastAsia="仿宋_GB2312"/>
          <w:kern w:val="0"/>
          <w:sz w:val="32"/>
          <w:szCs w:val="32"/>
        </w:rPr>
        <w:t>在昌乐门户</w:t>
      </w:r>
      <w:r>
        <w:rPr>
          <w:rFonts w:hint="eastAsia" w:ascii="仿宋_GB2312" w:hAnsi="宋体" w:eastAsia="仿宋_GB2312"/>
          <w:kern w:val="0"/>
          <w:sz w:val="32"/>
          <w:szCs w:val="32"/>
          <w:lang w:eastAsia="zh-CN"/>
        </w:rPr>
        <w:t>网站住建局</w:t>
      </w:r>
      <w:r>
        <w:rPr>
          <w:rFonts w:hint="eastAsia" w:ascii="仿宋_GB2312" w:hAnsi="宋体" w:eastAsia="仿宋_GB2312"/>
          <w:kern w:val="0"/>
          <w:sz w:val="32"/>
          <w:szCs w:val="32"/>
        </w:rPr>
        <w:t>专栏</w:t>
      </w:r>
      <w:r>
        <w:rPr>
          <w:rFonts w:hint="eastAsia" w:ascii="仿宋_GB2312" w:hAnsi="宋体" w:eastAsia="仿宋_GB2312"/>
          <w:kern w:val="0"/>
          <w:sz w:val="32"/>
          <w:szCs w:val="32"/>
          <w:lang w:eastAsia="zh-CN"/>
        </w:rPr>
        <w:t>积极主动</w:t>
      </w:r>
      <w:r>
        <w:rPr>
          <w:rFonts w:hint="eastAsia" w:ascii="仿宋_GB2312" w:hAnsi="宋体" w:eastAsia="仿宋_GB2312"/>
          <w:kern w:val="0"/>
          <w:sz w:val="32"/>
          <w:szCs w:val="32"/>
        </w:rPr>
        <w:t>公布部门工作动态，对机构职能、组织管理、政策文件、政策解读、规划计划、工作信息、建议提案、重大项目批准和实施等信息进行了公开，202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年共公开政务信息1</w:t>
      </w:r>
      <w:r>
        <w:rPr>
          <w:rFonts w:hint="eastAsia" w:ascii="仿宋_GB2312" w:hAnsi="宋体" w:eastAsia="仿宋_GB2312"/>
          <w:kern w:val="0"/>
          <w:sz w:val="32"/>
          <w:szCs w:val="32"/>
          <w:lang w:val="en-US" w:eastAsia="zh-CN"/>
        </w:rPr>
        <w:t>02</w:t>
      </w:r>
      <w:r>
        <w:rPr>
          <w:rFonts w:hint="eastAsia" w:ascii="仿宋_GB2312" w:hAnsi="宋体" w:eastAsia="仿宋_GB2312"/>
          <w:kern w:val="0"/>
          <w:sz w:val="32"/>
          <w:szCs w:val="32"/>
        </w:rPr>
        <w:t>条。</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（二）依申请公开情况。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年，我局共受理信息公开申请</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件，其中，</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件为网上申请，1件为邮寄形式申请，我局均依法依规按时予以答复。</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（三）政府信息管理情况。</w:t>
      </w:r>
      <w:r>
        <w:rPr>
          <w:rFonts w:hint="eastAsia" w:ascii="仿宋_GB2312" w:hAnsi="宋体" w:eastAsia="仿宋_GB2312"/>
          <w:kern w:val="0"/>
          <w:sz w:val="32"/>
          <w:szCs w:val="32"/>
        </w:rPr>
        <w:t>建立健全政府信息公开制度，进一步完善政务信息公开审查机制，实施局主要负责人、分管负责人和科室负责人三级审查制度，</w:t>
      </w:r>
      <w:r>
        <w:rPr>
          <w:rFonts w:hint="eastAsia" w:ascii="仿宋_GB2312" w:hAnsi="宋体" w:eastAsia="仿宋_GB2312"/>
          <w:kern w:val="0"/>
          <w:sz w:val="32"/>
          <w:szCs w:val="32"/>
          <w:lang w:eastAsia="zh-CN"/>
        </w:rPr>
        <w:t>对公开信息严格把关，并</w:t>
      </w:r>
      <w:r>
        <w:rPr>
          <w:rFonts w:hint="eastAsia" w:ascii="仿宋_GB2312" w:hAnsi="宋体" w:eastAsia="仿宋_GB2312"/>
          <w:kern w:val="0"/>
          <w:sz w:val="32"/>
          <w:szCs w:val="32"/>
        </w:rPr>
        <w:t>由局办公室专人负责</w:t>
      </w:r>
      <w:r>
        <w:rPr>
          <w:rFonts w:hint="eastAsia" w:ascii="仿宋_GB2312" w:hAnsi="宋体" w:eastAsia="仿宋_GB2312"/>
          <w:kern w:val="0"/>
          <w:sz w:val="32"/>
          <w:szCs w:val="32"/>
          <w:lang w:eastAsia="zh-CN"/>
        </w:rPr>
        <w:t>联络</w:t>
      </w:r>
      <w:r>
        <w:rPr>
          <w:rFonts w:hint="eastAsia" w:ascii="仿宋_GB2312" w:hAnsi="宋体" w:eastAsia="仿宋_GB2312"/>
          <w:kern w:val="0"/>
          <w:sz w:val="32"/>
          <w:szCs w:val="32"/>
        </w:rPr>
        <w:t>管理，</w:t>
      </w:r>
      <w:r>
        <w:rPr>
          <w:rFonts w:hint="eastAsia" w:ascii="仿宋_GB2312" w:hAnsi="宋体" w:eastAsia="仿宋_GB2312"/>
          <w:kern w:val="0"/>
          <w:sz w:val="32"/>
          <w:szCs w:val="32"/>
          <w:lang w:eastAsia="zh-CN"/>
        </w:rPr>
        <w:t>严格落实</w:t>
      </w:r>
      <w:r>
        <w:rPr>
          <w:rFonts w:hint="eastAsia" w:ascii="仿宋_GB2312" w:hAnsi="宋体" w:eastAsia="仿宋_GB2312"/>
          <w:kern w:val="0"/>
          <w:sz w:val="32"/>
          <w:szCs w:val="32"/>
        </w:rPr>
        <w:t>保密管理有关规定，做到应公开、尽公开，</w:t>
      </w:r>
      <w:r>
        <w:rPr>
          <w:rFonts w:hint="eastAsia" w:ascii="仿宋_GB2312" w:hAnsi="宋体" w:eastAsia="仿宋_GB2312"/>
          <w:kern w:val="0"/>
          <w:sz w:val="32"/>
          <w:szCs w:val="32"/>
          <w:lang w:eastAsia="zh-CN"/>
        </w:rPr>
        <w:t>按规定不予公开的坚决不公开</w:t>
      </w:r>
      <w:r>
        <w:rPr>
          <w:rFonts w:hint="eastAsia" w:ascii="仿宋_GB2312" w:hAnsi="宋体" w:eastAsia="仿宋_GB2312"/>
          <w:kern w:val="0"/>
          <w:sz w:val="32"/>
          <w:szCs w:val="32"/>
        </w:rPr>
        <w:t>。</w:t>
      </w:r>
    </w:p>
    <w:p>
      <w:pPr>
        <w:widowControl/>
        <w:spacing w:line="600" w:lineRule="exact"/>
        <w:ind w:firstLine="643" w:firstLineChars="200"/>
        <w:rPr>
          <w:rFonts w:hint="eastAsia" w:ascii="仿宋_GB2312" w:hAnsi="宋体" w:eastAsia="仿宋_GB2312"/>
          <w:kern w:val="0"/>
          <w:sz w:val="32"/>
          <w:szCs w:val="32"/>
          <w:lang w:eastAsia="zh-CN"/>
        </w:rPr>
      </w:pPr>
      <w:r>
        <w:rPr>
          <w:rFonts w:hint="eastAsia" w:ascii="楷体_GB2312" w:hAnsi="宋体" w:eastAsia="楷体_GB2312"/>
          <w:b/>
          <w:kern w:val="0"/>
          <w:sz w:val="32"/>
          <w:szCs w:val="32"/>
        </w:rPr>
        <w:t>（四）政府信息公开平台建设情况。</w:t>
      </w:r>
      <w:r>
        <w:rPr>
          <w:rFonts w:hint="eastAsia" w:ascii="仿宋_GB2312" w:hAnsi="宋体" w:eastAsia="仿宋_GB2312"/>
          <w:kern w:val="0"/>
          <w:sz w:val="32"/>
          <w:szCs w:val="32"/>
        </w:rPr>
        <w:t>我局</w:t>
      </w:r>
      <w:r>
        <w:rPr>
          <w:rFonts w:hint="eastAsia" w:ascii="仿宋_GB2312" w:hAnsi="宋体" w:eastAsia="仿宋_GB2312"/>
          <w:kern w:val="0"/>
          <w:sz w:val="32"/>
          <w:szCs w:val="32"/>
          <w:lang w:eastAsia="zh-CN"/>
        </w:rPr>
        <w:t>进一步</w:t>
      </w:r>
      <w:r>
        <w:rPr>
          <w:rFonts w:hint="eastAsia" w:ascii="仿宋_GB2312" w:hAnsi="宋体" w:eastAsia="仿宋_GB2312"/>
          <w:kern w:val="0"/>
          <w:sz w:val="32"/>
          <w:szCs w:val="32"/>
        </w:rPr>
        <w:t>完善“昌乐县住建局”微信公众号，开通全民城管随手拍互动功能，畅通信息沟通渠道，由局办公室专人管理，通过微信公众平台及时发布我局工作动态信息，</w:t>
      </w:r>
      <w:r>
        <w:rPr>
          <w:rFonts w:hint="eastAsia" w:ascii="仿宋_GB2312" w:hAnsi="宋体" w:eastAsia="仿宋_GB2312"/>
          <w:kern w:val="0"/>
          <w:sz w:val="32"/>
          <w:szCs w:val="32"/>
          <w:lang w:eastAsia="zh-CN"/>
        </w:rPr>
        <w:t>转发国家相关政策法规、时政要闻，</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年累计发布信息</w:t>
      </w:r>
      <w:r>
        <w:rPr>
          <w:rFonts w:hint="eastAsia" w:ascii="仿宋_GB2312" w:hAnsi="宋体" w:eastAsia="仿宋_GB2312"/>
          <w:kern w:val="0"/>
          <w:sz w:val="32"/>
          <w:szCs w:val="32"/>
          <w:lang w:val="en-US" w:eastAsia="zh-CN"/>
        </w:rPr>
        <w:t>180</w:t>
      </w:r>
      <w:r>
        <w:rPr>
          <w:rFonts w:hint="eastAsia" w:ascii="仿宋_GB2312" w:hAnsi="宋体" w:eastAsia="仿宋_GB2312"/>
          <w:kern w:val="0"/>
          <w:sz w:val="32"/>
          <w:szCs w:val="32"/>
        </w:rPr>
        <w:t>条。</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（五）监督保障情况。</w:t>
      </w:r>
      <w:r>
        <w:rPr>
          <w:rFonts w:hint="eastAsia" w:ascii="仿宋_GB2312" w:hAnsi="宋体" w:eastAsia="仿宋_GB2312"/>
          <w:kern w:val="0"/>
          <w:sz w:val="32"/>
          <w:szCs w:val="32"/>
        </w:rPr>
        <w:t>成立县住建局政务公开领导小组，明确职责分工，落实专人负责政务公开工作，</w:t>
      </w:r>
      <w:r>
        <w:rPr>
          <w:rFonts w:hint="eastAsia" w:ascii="仿宋_GB2312" w:hAnsi="宋体" w:eastAsia="仿宋_GB2312"/>
          <w:kern w:val="0"/>
          <w:sz w:val="32"/>
          <w:szCs w:val="32"/>
          <w:lang w:eastAsia="zh-CN"/>
        </w:rPr>
        <w:t>明确政务公开</w:t>
      </w:r>
      <w:r>
        <w:rPr>
          <w:rFonts w:hint="eastAsia" w:ascii="仿宋_GB2312" w:hAnsi="宋体" w:eastAsia="仿宋_GB2312"/>
          <w:kern w:val="0"/>
          <w:sz w:val="32"/>
          <w:szCs w:val="32"/>
        </w:rPr>
        <w:t>分管负责人，全面负责做好局机关政务信息公开管理工作，办公室为信息公开工作机构，</w:t>
      </w:r>
      <w:r>
        <w:rPr>
          <w:rFonts w:hint="eastAsia" w:ascii="仿宋_GB2312" w:hAnsi="宋体" w:eastAsia="仿宋_GB2312"/>
          <w:kern w:val="0"/>
          <w:sz w:val="32"/>
          <w:szCs w:val="32"/>
          <w:lang w:eastAsia="zh-CN"/>
        </w:rPr>
        <w:t>由</w:t>
      </w:r>
      <w:r>
        <w:rPr>
          <w:rFonts w:hint="eastAsia" w:ascii="仿宋_GB2312" w:hAnsi="宋体" w:eastAsia="仿宋_GB2312"/>
          <w:kern w:val="0"/>
          <w:sz w:val="32"/>
          <w:szCs w:val="32"/>
        </w:rPr>
        <w:t>2名同志具体负责</w:t>
      </w:r>
      <w:r>
        <w:rPr>
          <w:rFonts w:hint="eastAsia" w:ascii="仿宋_GB2312" w:hAnsi="宋体" w:eastAsia="仿宋_GB2312"/>
          <w:kern w:val="0"/>
          <w:sz w:val="32"/>
          <w:szCs w:val="32"/>
          <w:lang w:eastAsia="zh-CN"/>
        </w:rPr>
        <w:t>全局政务公开联络管理工作</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相关</w:t>
      </w:r>
      <w:r>
        <w:rPr>
          <w:rFonts w:hint="eastAsia" w:ascii="仿宋_GB2312" w:hAnsi="宋体" w:eastAsia="仿宋_GB2312"/>
          <w:kern w:val="0"/>
          <w:sz w:val="32"/>
          <w:szCs w:val="32"/>
        </w:rPr>
        <w:t>科室单位明确1名政务公开信息联络员，及时报送政务公开信息内容，</w:t>
      </w:r>
      <w:r>
        <w:rPr>
          <w:rFonts w:hint="eastAsia" w:ascii="仿宋_GB2312" w:hAnsi="宋体" w:eastAsia="仿宋_GB2312"/>
          <w:kern w:val="0"/>
          <w:sz w:val="32"/>
          <w:szCs w:val="32"/>
          <w:lang w:eastAsia="zh-CN"/>
        </w:rPr>
        <w:t>定期开展政务公开</w:t>
      </w:r>
      <w:r>
        <w:rPr>
          <w:rFonts w:hint="eastAsia" w:ascii="仿宋_GB2312" w:hAnsi="宋体" w:eastAsia="仿宋_GB2312"/>
          <w:kern w:val="0"/>
          <w:sz w:val="32"/>
          <w:szCs w:val="32"/>
        </w:rPr>
        <w:t>业务培训，规范各项操作流程，不断提高政府信息公开工作的质量和水平。同时建立政务公开常效管理机制，强化监督，进一步规范各项流程操作，确保公开到位，保障政务公开工作扎实有效地推进。</w:t>
      </w:r>
    </w:p>
    <w:p>
      <w:pPr>
        <w:pStyle w:val="6"/>
        <w:widowControl/>
        <w:shd w:val="clear" w:color="auto" w:fill="FFFFFF"/>
        <w:spacing w:beforeAutospacing="0" w:after="240" w:afterAutospacing="0"/>
        <w:ind w:firstLine="640"/>
        <w:jc w:val="both"/>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7"/>
        <w:tblW w:w="8708" w:type="dxa"/>
        <w:jc w:val="center"/>
        <w:shd w:val="clear" w:color="auto" w:fill="FFFFFF"/>
        <w:tblLayout w:type="fixed"/>
        <w:tblCellMar>
          <w:top w:w="0" w:type="dxa"/>
          <w:left w:w="0" w:type="dxa"/>
          <w:bottom w:w="0" w:type="dxa"/>
          <w:right w:w="0" w:type="dxa"/>
        </w:tblCellMar>
      </w:tblPr>
      <w:tblGrid>
        <w:gridCol w:w="3073"/>
        <w:gridCol w:w="1991"/>
        <w:gridCol w:w="1701"/>
        <w:gridCol w:w="1943"/>
      </w:tblGrid>
      <w:tr>
        <w:tblPrEx>
          <w:shd w:val="clear" w:color="auto" w:fill="FFFFFF"/>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sz w:val="24"/>
              </w:rPr>
            </w:pPr>
            <w:r>
              <w:rPr>
                <w:rFonts w:hint="eastAsia" w:ascii="宋体" w:hAnsi="宋体"/>
                <w:color w:val="000000"/>
                <w:kern w:val="0"/>
                <w:sz w:val="24"/>
              </w:rPr>
              <w:t>第二十条第（一）项</w:t>
            </w:r>
          </w:p>
        </w:tc>
      </w:tr>
      <w:tr>
        <w:tblPrEx>
          <w:shd w:val="clear" w:color="auto" w:fill="FFFFFF"/>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19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本年制发件数</w:t>
            </w:r>
          </w:p>
        </w:tc>
        <w:tc>
          <w:tcPr>
            <w:tcW w:w="170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本年废止件数</w:t>
            </w:r>
          </w:p>
        </w:tc>
        <w:tc>
          <w:tcPr>
            <w:tcW w:w="1943"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现行有效件数</w:t>
            </w:r>
          </w:p>
        </w:tc>
      </w:tr>
      <w:tr>
        <w:tblPrEx>
          <w:shd w:val="clear" w:color="auto" w:fill="FFFFFF"/>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规章</w:t>
            </w:r>
          </w:p>
        </w:tc>
        <w:tc>
          <w:tcPr>
            <w:tcW w:w="199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70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943"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r>
      <w:tr>
        <w:tblPrEx>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规范性文件</w:t>
            </w:r>
          </w:p>
        </w:tc>
        <w:tc>
          <w:tcPr>
            <w:tcW w:w="199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70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943"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r>
      <w:tr>
        <w:tblPrEx>
          <w:shd w:val="clear" w:color="auto" w:fill="FFFFFF"/>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rPr>
                <w:kern w:val="0"/>
              </w:rPr>
            </w:pPr>
            <w:r>
              <w:rPr>
                <w:rFonts w:hint="eastAsia" w:ascii="宋体" w:hAnsi="宋体"/>
                <w:b w:val="0"/>
                <w:bCs w:val="0"/>
                <w:color w:val="000000"/>
                <w:kern w:val="0"/>
                <w:sz w:val="24"/>
                <w:szCs w:val="24"/>
              </w:rPr>
              <w:t>第二十条第（五）项</w:t>
            </w:r>
          </w:p>
        </w:tc>
      </w:tr>
      <w:tr>
        <w:tblPrEx>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本年处理决定数量</w:t>
            </w:r>
          </w:p>
        </w:tc>
      </w:tr>
      <w:tr>
        <w:tblPrEx>
          <w:shd w:val="clear" w:color="auto" w:fill="FFFFFF"/>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290</w:t>
            </w:r>
          </w:p>
        </w:tc>
      </w:tr>
      <w:tr>
        <w:tblPrEx>
          <w:shd w:val="clear" w:color="auto" w:fill="FFFFFF"/>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color w:val="000000"/>
                <w:kern w:val="0"/>
                <w:sz w:val="24"/>
              </w:rPr>
              <w:t>第二十条第（六）项</w:t>
            </w:r>
          </w:p>
        </w:tc>
      </w:tr>
      <w:tr>
        <w:tblPrEx>
          <w:shd w:val="clear" w:color="auto" w:fill="FFFFFF"/>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kern w:val="0"/>
                <w:sz w:val="24"/>
              </w:rPr>
              <w:t>本年处理决定数量</w:t>
            </w:r>
          </w:p>
        </w:tc>
      </w:tr>
      <w:tr>
        <w:tblPrEx>
          <w:shd w:val="clear" w:color="auto" w:fill="FFFFFF"/>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hint="default" w:ascii="宋体" w:hAnsi="宋体" w:eastAsia="宋体"/>
                <w:kern w:val="0"/>
                <w:sz w:val="24"/>
                <w:lang w:val="en-US" w:eastAsia="zh-CN"/>
              </w:rPr>
            </w:pPr>
            <w:r>
              <w:rPr>
                <w:rFonts w:hint="eastAsia" w:ascii="宋体" w:hAnsi="宋体"/>
                <w:kern w:val="0"/>
                <w:sz w:val="24"/>
                <w:lang w:val="en-US" w:eastAsia="zh-CN"/>
              </w:rPr>
              <w:t>34</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kern w:val="0"/>
                <w:sz w:val="24"/>
              </w:rPr>
              <w:t>0</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本年收费金额（单位：万元）</w:t>
            </w:r>
          </w:p>
        </w:tc>
      </w:tr>
      <w:tr>
        <w:tblPrEx>
          <w:shd w:val="clear" w:color="auto" w:fill="FFFFFF"/>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r>
    </w:tbl>
    <w:p>
      <w:pPr>
        <w:pStyle w:val="6"/>
        <w:widowControl/>
        <w:shd w:val="clear" w:color="auto" w:fill="FFFFFF"/>
        <w:spacing w:beforeAutospacing="0" w:afterAutospacing="0"/>
        <w:ind w:firstLine="420"/>
        <w:jc w:val="both"/>
        <w:rPr>
          <w:rFonts w:ascii="宋体" w:hAnsi="宋体" w:cs="宋体"/>
          <w:color w:val="333333"/>
        </w:rPr>
      </w:pPr>
    </w:p>
    <w:p>
      <w:pPr>
        <w:pStyle w:val="6"/>
        <w:widowControl/>
        <w:shd w:val="clear" w:color="auto" w:fill="FFFFFF"/>
        <w:spacing w:beforeAutospacing="0" w:after="240" w:afterAutospacing="0"/>
        <w:ind w:left="-199" w:leftChars="-95" w:firstLine="620"/>
        <w:jc w:val="both"/>
        <w:rPr>
          <w:rFonts w:ascii="黑体" w:hAnsi="黑体" w:eastAsia="黑体" w:cs="黑体"/>
          <w:bCs/>
          <w:sz w:val="32"/>
          <w:szCs w:val="32"/>
        </w:rPr>
      </w:pPr>
      <w:r>
        <w:rPr>
          <w:rFonts w:hint="eastAsia" w:ascii="黑体" w:hAnsi="黑体" w:eastAsia="黑体" w:cs="黑体"/>
          <w:bCs/>
          <w:sz w:val="32"/>
          <w:szCs w:val="32"/>
        </w:rPr>
        <w:t>三、收到和处理政府信息公开申请情况</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kern w:val="0"/>
                <w:sz w:val="20"/>
                <w:szCs w:val="20"/>
              </w:rPr>
            </w:pPr>
            <w:r>
              <w:rPr>
                <w:rFonts w:hint="eastAsia" w:ascii="宋体" w:hAnsi="宋体"/>
                <w:kern w:val="0"/>
                <w:sz w:val="20"/>
                <w:szCs w:val="20"/>
              </w:rPr>
              <w:t>（本列数据的勾稽关系为：第一项加第二项之和，</w:t>
            </w:r>
          </w:p>
          <w:p>
            <w:pPr>
              <w:widowControl/>
              <w:jc w:val="center"/>
              <w:rPr>
                <w:rFonts w:cs="Times New Roman"/>
              </w:rPr>
            </w:pPr>
            <w:r>
              <w:rPr>
                <w:rFonts w:hint="eastAsia" w:ascii="宋体" w:hAnsi="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cs="Times New Roman"/>
              </w:rPr>
            </w:pPr>
            <w:r>
              <w:rPr>
                <w:rFonts w:hint="eastAsia" w:ascii="宋体" w:hAnsi="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Times New Roman"/>
                <w:sz w:val="24"/>
              </w:rPr>
            </w:pP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ascii="宋体" w:hAnsi="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cs="Times New Roman"/>
              </w:rPr>
            </w:pPr>
            <w:r>
              <w:rPr>
                <w:rFonts w:hint="eastAsia" w:ascii="宋体" w:hAnsi="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ascii="宋体" w:hAnsi="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Times New Roman"/>
                <w:sz w:val="24"/>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cs="Times New Roman"/>
                <w:sz w:val="24"/>
              </w:rPr>
            </w:pP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320" w:lineRule="exact"/>
              <w:ind w:left="-106" w:leftChars="-51" w:right="-107" w:rightChars="-51" w:hanging="1"/>
              <w:jc w:val="center"/>
              <w:rPr>
                <w:rFonts w:cs="Times New Roman"/>
              </w:rPr>
            </w:pPr>
            <w:r>
              <w:rPr>
                <w:rFonts w:hint="eastAsia" w:ascii="宋体" w:hAnsi="宋体"/>
                <w:kern w:val="0"/>
                <w:sz w:val="20"/>
                <w:szCs w:val="20"/>
              </w:rPr>
              <w:t>商业企业</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320" w:lineRule="exact"/>
              <w:ind w:left="-107" w:leftChars="-51" w:right="-107" w:rightChars="-51"/>
              <w:jc w:val="center"/>
              <w:rPr>
                <w:rFonts w:cs="Times New Roman"/>
              </w:rPr>
            </w:pPr>
            <w:r>
              <w:rPr>
                <w:rFonts w:hint="eastAsia" w:ascii="宋体" w:hAnsi="宋体"/>
                <w:kern w:val="0"/>
                <w:sz w:val="20"/>
                <w:szCs w:val="20"/>
              </w:rPr>
              <w:t>科研机构</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ind w:left="-107" w:leftChars="-51" w:right="-107" w:rightChars="-51"/>
              <w:jc w:val="center"/>
              <w:rPr>
                <w:rFonts w:cs="Times New Roman"/>
              </w:rPr>
            </w:pPr>
            <w:r>
              <w:rPr>
                <w:rFonts w:hint="eastAsia" w:ascii="宋体" w:hAnsi="宋体"/>
                <w:kern w:val="0"/>
                <w:sz w:val="20"/>
                <w:szCs w:val="20"/>
              </w:rPr>
              <w:t>社会公益组织</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ind w:left="-106" w:leftChars="-51" w:right="-107" w:rightChars="-51" w:hanging="1"/>
              <w:jc w:val="center"/>
              <w:rPr>
                <w:rFonts w:cs="Times New Roman"/>
              </w:rPr>
            </w:pPr>
            <w:r>
              <w:rPr>
                <w:rFonts w:hint="eastAsia" w:ascii="宋体" w:hAnsi="宋体"/>
                <w:kern w:val="0"/>
                <w:sz w:val="20"/>
                <w:szCs w:val="20"/>
              </w:rPr>
              <w:t>法律服务机构</w:t>
            </w:r>
          </w:p>
        </w:tc>
        <w:tc>
          <w:tcPr>
            <w:tcW w:w="540"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60" w:lineRule="exact"/>
              <w:ind w:left="-63" w:leftChars="-30" w:right="-134" w:rightChars="-64"/>
              <w:jc w:val="center"/>
              <w:rPr>
                <w:rFonts w:cs="Times New Roman"/>
              </w:rPr>
            </w:pPr>
            <w:r>
              <w:rPr>
                <w:rFonts w:hint="eastAsia" w:ascii="宋体" w:hAnsi="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jc w:val="center"/>
              <w:rPr>
                <w:rFonts w:ascii="宋体"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rPr>
                <w:rFonts w:cs="Times New Roman"/>
              </w:rPr>
            </w:pPr>
            <w:r>
              <w:rPr>
                <w:rFonts w:hint="eastAsia" w:ascii="宋体" w:hAnsi="宋体"/>
                <w:kern w:val="0"/>
                <w:sz w:val="20"/>
                <w:szCs w:val="20"/>
              </w:rPr>
              <w:t>一、本年新收政府信息公开申请数量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7</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rPr>
                <w:rFonts w:cs="Times New Roman"/>
              </w:rPr>
            </w:pPr>
            <w:r>
              <w:rPr>
                <w:rFonts w:hint="eastAsia" w:ascii="宋体" w:hAnsi="宋体"/>
                <w:kern w:val="0"/>
                <w:sz w:val="20"/>
                <w:szCs w:val="20"/>
              </w:rPr>
              <w:t>二、上年结转政府信息公开申请数量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default" w:eastAsia="宋体" w:cs="Times New Roman"/>
                <w:lang w:val="en-US" w:eastAsia="zh-CN"/>
              </w:rPr>
            </w:pPr>
            <w:r>
              <w:rPr>
                <w:rFonts w:hint="eastAsia" w:cs="Times New Roman"/>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rPr>
                <w:rFonts w:cs="Times New Roman"/>
              </w:rPr>
            </w:pPr>
            <w:r>
              <w:rPr>
                <w:rFonts w:hint="eastAsia" w:ascii="宋体" w:hAnsi="宋体"/>
                <w:kern w:val="0"/>
                <w:sz w:val="20"/>
                <w:szCs w:val="20"/>
              </w:rPr>
              <w:t>三、本年度办理结果</w:t>
            </w: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widowControl/>
              <w:rPr>
                <w:rFonts w:cs="Times New Roman"/>
              </w:rPr>
            </w:pPr>
            <w:r>
              <w:rPr>
                <w:rFonts w:ascii="楷体" w:hAnsi="楷体" w:eastAsia="楷体" w:cs="楷体"/>
                <w:kern w:val="0"/>
                <w:sz w:val="20"/>
                <w:szCs w:val="20"/>
              </w:rPr>
              <w:t>（一）予以公开</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7</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widowControl/>
              <w:rPr>
                <w:rFonts w:cs="Times New Roman"/>
              </w:rPr>
            </w:pPr>
            <w:r>
              <w:rPr>
                <w:rFonts w:hint="eastAsia" w:ascii="楷体" w:hAnsi="楷体" w:eastAsia="楷体" w:cs="楷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widowControl/>
              <w:spacing w:line="200" w:lineRule="exact"/>
              <w:ind w:left="-107" w:leftChars="-51"/>
              <w:rPr>
                <w:rFonts w:cs="Times New Roman"/>
              </w:rPr>
            </w:pPr>
            <w:r>
              <w:rPr>
                <w:rFonts w:hint="eastAsia" w:ascii="楷体" w:hAnsi="楷体" w:eastAsia="楷体" w:cs="楷体"/>
                <w:kern w:val="0"/>
                <w:sz w:val="20"/>
                <w:szCs w:val="20"/>
              </w:rPr>
              <w:t>（三）不予公开</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1.属于国家秘密</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2.其他法律行政法规禁止公开</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3.危及“三安全一稳定”</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4.保护第三方合法权益</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5.属于三类内部事务信息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6.属于四类过程性信息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7.属于行政执法案卷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8.属于行政查询事项</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widowControl/>
              <w:spacing w:line="200" w:lineRule="exact"/>
              <w:ind w:left="-107" w:leftChars="-51"/>
              <w:rPr>
                <w:rFonts w:cs="Times New Roman"/>
              </w:rPr>
            </w:pPr>
            <w:r>
              <w:rPr>
                <w:rFonts w:hint="eastAsia" w:ascii="楷体" w:hAnsi="楷体" w:eastAsia="楷体" w:cs="楷体"/>
                <w:kern w:val="0"/>
                <w:sz w:val="20"/>
                <w:szCs w:val="20"/>
              </w:rPr>
              <w:t>（四）无法提供</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1.本机关不掌握相关政府信息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ind w:left="-107" w:leftChars="-51"/>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2.没有现成信息需要另行制作</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ind w:left="-107" w:leftChars="-51"/>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3.补正后申请内容仍不明确</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widowControl/>
              <w:spacing w:line="200" w:lineRule="exact"/>
              <w:ind w:left="-107" w:leftChars="-51"/>
              <w:rPr>
                <w:rFonts w:cs="Times New Roman"/>
              </w:rPr>
            </w:pPr>
            <w:r>
              <w:rPr>
                <w:rFonts w:hint="eastAsia" w:ascii="楷体" w:hAnsi="楷体" w:eastAsia="楷体" w:cs="楷体"/>
                <w:kern w:val="0"/>
                <w:sz w:val="20"/>
                <w:szCs w:val="20"/>
              </w:rPr>
              <w:t>（五）不予处理</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1.信访举报投诉类申请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2.重复申请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3.要求提供公开出版物</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4.无正当理由大量反复申请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300" w:lineRule="exact"/>
              <w:rPr>
                <w:rFonts w:ascii="楷体" w:hAnsi="楷体" w:eastAsia="楷体" w:cs="楷体"/>
                <w:kern w:val="0"/>
                <w:sz w:val="20"/>
                <w:szCs w:val="20"/>
              </w:rPr>
            </w:pPr>
            <w:r>
              <w:rPr>
                <w:rFonts w:hint="eastAsia" w:ascii="楷体" w:hAnsi="楷体" w:eastAsia="楷体" w:cs="楷体"/>
                <w:kern w:val="0"/>
                <w:sz w:val="20"/>
                <w:szCs w:val="20"/>
              </w:rPr>
              <w:t>5.要求行政机关确认或重新</w:t>
            </w:r>
          </w:p>
          <w:p>
            <w:pPr>
              <w:widowControl/>
              <w:spacing w:line="300" w:lineRule="exact"/>
              <w:ind w:firstLine="200" w:firstLineChars="100"/>
              <w:rPr>
                <w:rFonts w:cs="Times New Roman"/>
              </w:rPr>
            </w:pPr>
            <w:r>
              <w:rPr>
                <w:rFonts w:hint="eastAsia" w:ascii="楷体" w:hAnsi="楷体" w:eastAsia="楷体" w:cs="楷体"/>
                <w:kern w:val="0"/>
                <w:sz w:val="20"/>
                <w:szCs w:val="20"/>
              </w:rPr>
              <w:t>出具已获取信息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（六）其他处理</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rPr>
                <w:rFonts w:ascii="楷体" w:hAnsi="楷体" w:eastAsia="楷体" w:cs="楷体"/>
                <w:kern w:val="0"/>
                <w:sz w:val="20"/>
                <w:szCs w:val="20"/>
              </w:rPr>
            </w:pPr>
            <w:r>
              <w:rPr>
                <w:rFonts w:hint="eastAsia" w:ascii="楷体" w:hAnsi="楷体" w:eastAsia="楷体" w:cs="楷体"/>
                <w:kern w:val="0"/>
                <w:sz w:val="20"/>
                <w:szCs w:val="20"/>
              </w:rPr>
              <w:t>1.申请人无正当理由逾期不补正、行政机关不再处理其政府信息公开申请</w:t>
            </w:r>
          </w:p>
        </w:tc>
        <w:tc>
          <w:tcPr>
            <w:tcW w:w="850"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00" w:lineRule="exact"/>
              <w:rPr>
                <w:rFonts w:cs="Times New Roman"/>
              </w:rPr>
            </w:pPr>
          </w:p>
        </w:tc>
        <w:tc>
          <w:tcPr>
            <w:tcW w:w="1418" w:type="dxa"/>
            <w:vMerge w:val="continue"/>
            <w:tcBorders>
              <w:left w:val="nil"/>
              <w:right w:val="single" w:color="auto" w:sz="8" w:space="0"/>
            </w:tcBorders>
            <w:tcMar>
              <w:left w:w="108" w:type="dxa"/>
              <w:right w:w="108" w:type="dxa"/>
            </w:tcMar>
            <w:vAlign w:val="center"/>
          </w:tcPr>
          <w:p>
            <w:pPr>
              <w:widowControl/>
              <w:spacing w:line="200" w:lineRule="exact"/>
              <w:rPr>
                <w:rFonts w:cs="Times New Roman"/>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rPr>
                <w:rFonts w:ascii="楷体" w:hAnsi="楷体" w:eastAsia="楷体" w:cs="楷体"/>
                <w:kern w:val="0"/>
                <w:sz w:val="20"/>
                <w:szCs w:val="20"/>
              </w:rPr>
            </w:pPr>
            <w:r>
              <w:rPr>
                <w:rFonts w:hint="eastAsia" w:ascii="楷体" w:hAnsi="楷体" w:eastAsia="楷体" w:cs="楷体"/>
                <w:kern w:val="0"/>
                <w:sz w:val="20"/>
                <w:szCs w:val="20"/>
              </w:rPr>
              <w:t>2.申请人逾期未按收费通知要求缴纳费用、行政机关不再处理其政府信息公开申请</w:t>
            </w:r>
          </w:p>
        </w:tc>
        <w:tc>
          <w:tcPr>
            <w:tcW w:w="850"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25" w:type="dxa"/>
            <w:vMerge w:val="continue"/>
            <w:tcBorders>
              <w:left w:val="single" w:color="auto" w:sz="8" w:space="0"/>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p>
        </w:tc>
        <w:tc>
          <w:tcPr>
            <w:tcW w:w="1418" w:type="dxa"/>
            <w:vMerge w:val="continue"/>
            <w:tcBorders>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3.其他</w:t>
            </w:r>
          </w:p>
        </w:tc>
        <w:tc>
          <w:tcPr>
            <w:tcW w:w="850"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（七）总计</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6</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rPr>
                <w:rFonts w:cs="Times New Roman"/>
              </w:rPr>
            </w:pPr>
            <w:r>
              <w:rPr>
                <w:rFonts w:hint="eastAsia" w:ascii="宋体" w:hAnsi="宋体"/>
                <w:kern w:val="0"/>
                <w:sz w:val="20"/>
                <w:szCs w:val="20"/>
              </w:rPr>
              <w:t>四、结转下年度继续办理</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1</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eastAsia="宋体" w:cs="Times New Roman"/>
                <w:lang w:eastAsia="zh-CN"/>
              </w:rPr>
            </w:pPr>
            <w:r>
              <w:rPr>
                <w:rFonts w:hint="eastAsia" w:cs="Times New Roman"/>
                <w:lang w:val="en-US" w:eastAsia="zh-C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ascii="宋体" w:eastAsia="宋体" w:cs="Times New Roman"/>
                <w:sz w:val="24"/>
                <w:lang w:eastAsia="zh-CN"/>
              </w:rPr>
            </w:pPr>
            <w:r>
              <w:rPr>
                <w:rFonts w:hint="eastAsia" w:cs="Times New Roman"/>
                <w:lang w:val="en-US" w:eastAsia="zh-CN"/>
              </w:rPr>
              <w:t>1</w:t>
            </w:r>
            <w:bookmarkStart w:id="0" w:name="_GoBack"/>
            <w:bookmarkEnd w:id="0"/>
          </w:p>
        </w:tc>
      </w:tr>
    </w:tbl>
    <w:p>
      <w:pPr>
        <w:pStyle w:val="6"/>
        <w:widowControl/>
        <w:shd w:val="clear" w:color="auto" w:fill="FFFFFF"/>
        <w:spacing w:beforeAutospacing="0" w:afterAutospacing="0"/>
        <w:jc w:val="both"/>
        <w:rPr>
          <w:rFonts w:ascii="宋体" w:hAnsi="宋体" w:cs="宋体"/>
          <w:color w:val="333333"/>
        </w:rPr>
      </w:pPr>
      <w:r>
        <w:rPr>
          <w:rFonts w:hint="eastAsia" w:ascii="宋体" w:hAnsi="宋体" w:cs="宋体"/>
          <w:color w:val="333333"/>
        </w:rPr>
        <w:t xml:space="preserve">  </w:t>
      </w:r>
    </w:p>
    <w:p>
      <w:pPr>
        <w:pStyle w:val="6"/>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四、政府信息公开行政复议、行政诉讼情况</w:t>
      </w:r>
    </w:p>
    <w:p>
      <w:pPr>
        <w:pStyle w:val="6"/>
        <w:widowControl/>
        <w:shd w:val="clear" w:color="auto" w:fill="FFFFFF"/>
        <w:spacing w:beforeAutospacing="0" w:afterAutospacing="0"/>
        <w:jc w:val="both"/>
        <w:rPr>
          <w:rFonts w:ascii="宋体" w:hAnsi="宋体" w:cs="宋体"/>
          <w:color w:val="333333"/>
        </w:rPr>
      </w:pPr>
      <w:r>
        <w:rPr>
          <w:rFonts w:hint="eastAsia" w:ascii="宋体" w:hAnsi="宋体" w:cs="宋体"/>
          <w:color w:val="333333"/>
        </w:rPr>
        <w:t xml:space="preserve">  </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rPr>
                <w:rFonts w:ascii="宋体" w:hAnsi="宋体"/>
                <w:kern w:val="0"/>
                <w:sz w:val="20"/>
                <w:szCs w:val="20"/>
              </w:rPr>
            </w:pPr>
            <w:r>
              <w:rPr>
                <w:rFonts w:hint="eastAsia" w:ascii="宋体" w:hAnsi="宋体"/>
                <w:kern w:val="0"/>
                <w:sz w:val="20"/>
                <w:szCs w:val="20"/>
              </w:rPr>
              <w:t>行政复议</w:t>
            </w:r>
          </w:p>
        </w:tc>
        <w:tc>
          <w:tcPr>
            <w:tcW w:w="5997" w:type="dxa"/>
            <w:gridSpan w:val="10"/>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rPr>
                <w:rFonts w:ascii="宋体" w:hAnsi="宋体"/>
                <w:kern w:val="0"/>
                <w:sz w:val="20"/>
                <w:szCs w:val="20"/>
              </w:rPr>
            </w:pPr>
            <w:r>
              <w:rPr>
                <w:rFonts w:hint="eastAsia" w:ascii="宋体" w:hAnsi="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宋体" w:hAnsi="宋体"/>
                <w:kern w:val="0"/>
                <w:sz w:val="20"/>
                <w:szCs w:val="20"/>
              </w:rPr>
            </w:pPr>
            <w:r>
              <w:rPr>
                <w:rFonts w:hint="eastAsia" w:ascii="宋体" w:hAnsi="宋体"/>
                <w:kern w:val="0"/>
                <w:sz w:val="20"/>
                <w:szCs w:val="20"/>
              </w:rPr>
              <w:t>结果</w:t>
            </w:r>
          </w:p>
          <w:p>
            <w:pPr>
              <w:widowControl/>
              <w:ind w:left="-149" w:leftChars="-71" w:right="-170" w:rightChars="-81"/>
              <w:jc w:val="center"/>
            </w:pPr>
            <w:r>
              <w:rPr>
                <w:rFonts w:hint="eastAsia" w:ascii="宋体" w:hAnsi="宋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pPr>
            <w:r>
              <w:rPr>
                <w:rFonts w:hint="eastAsia" w:ascii="宋体" w:hAnsi="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pPr>
            <w:r>
              <w:rPr>
                <w:rFonts w:hint="eastAsia" w:ascii="宋体" w:hAnsi="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宋体" w:hAnsi="宋体"/>
                <w:kern w:val="0"/>
                <w:sz w:val="20"/>
                <w:szCs w:val="20"/>
              </w:rPr>
            </w:pPr>
            <w:r>
              <w:rPr>
                <w:rFonts w:hint="eastAsia" w:ascii="宋体" w:hAnsi="宋体"/>
                <w:kern w:val="0"/>
                <w:sz w:val="20"/>
                <w:szCs w:val="20"/>
              </w:rPr>
              <w:t>尚未</w:t>
            </w:r>
          </w:p>
          <w:p>
            <w:pPr>
              <w:widowControl/>
              <w:ind w:left="-118" w:leftChars="-56" w:right="-118" w:rightChars="-56"/>
              <w:jc w:val="center"/>
            </w:pPr>
            <w:r>
              <w:rPr>
                <w:rFonts w:hint="eastAsia" w:ascii="宋体" w:hAnsi="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宋体" w:hAnsi="宋体"/>
                <w:kern w:val="0"/>
                <w:sz w:val="20"/>
                <w:szCs w:val="20"/>
              </w:rPr>
            </w:pPr>
            <w:r>
              <w:rPr>
                <w:rFonts w:hint="eastAsia" w:ascii="宋体" w:hAnsi="宋体"/>
                <w:kern w:val="0"/>
                <w:sz w:val="20"/>
                <w:szCs w:val="20"/>
              </w:rPr>
              <w:t>总</w:t>
            </w:r>
          </w:p>
          <w:p>
            <w:pPr>
              <w:widowControl/>
              <w:spacing w:line="320" w:lineRule="exact"/>
              <w:jc w:val="center"/>
            </w:pPr>
            <w:r>
              <w:rPr>
                <w:rFonts w:hint="eastAsia" w:ascii="宋体" w:hAnsi="宋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pPr>
            <w:r>
              <w:rPr>
                <w:rFonts w:hint="eastAsia" w:ascii="宋体" w:hAnsi="宋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pPr>
            <w:r>
              <w:rPr>
                <w:rFonts w:hint="eastAsia" w:ascii="宋体" w:hAnsi="宋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宋体" w:hAnsi="宋体"/>
                <w:kern w:val="0"/>
                <w:sz w:val="20"/>
                <w:szCs w:val="20"/>
              </w:rPr>
            </w:pPr>
            <w:r>
              <w:rPr>
                <w:rFonts w:hint="eastAsia" w:ascii="宋体" w:hAnsi="宋体"/>
                <w:kern w:val="0"/>
                <w:sz w:val="20"/>
                <w:szCs w:val="20"/>
              </w:rPr>
              <w:t>其他</w:t>
            </w:r>
          </w:p>
          <w:p>
            <w:pPr>
              <w:widowControl/>
              <w:ind w:left="-126" w:leftChars="-60" w:right="-136" w:rightChars="-65"/>
              <w:jc w:val="center"/>
            </w:pPr>
            <w:r>
              <w:rPr>
                <w:rFonts w:hint="eastAsia" w:ascii="宋体" w:hAnsi="宋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宋体" w:hAnsi="宋体"/>
                <w:kern w:val="0"/>
                <w:sz w:val="20"/>
                <w:szCs w:val="20"/>
              </w:rPr>
            </w:pPr>
            <w:r>
              <w:rPr>
                <w:rFonts w:hint="eastAsia" w:ascii="宋体" w:hAnsi="宋体"/>
                <w:kern w:val="0"/>
                <w:sz w:val="20"/>
                <w:szCs w:val="20"/>
              </w:rPr>
              <w:t>尚未</w:t>
            </w:r>
          </w:p>
          <w:p>
            <w:pPr>
              <w:widowControl/>
              <w:ind w:left="-164" w:leftChars="-78" w:right="-153" w:rightChars="-73"/>
              <w:jc w:val="center"/>
            </w:pPr>
            <w:r>
              <w:rPr>
                <w:rFonts w:hint="eastAsia" w:ascii="宋体" w:hAnsi="宋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pPr>
            <w:r>
              <w:rPr>
                <w:rFonts w:hint="eastAsia" w:ascii="宋体" w:hAnsi="宋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宋体" w:hAnsi="宋体"/>
                <w:kern w:val="0"/>
                <w:sz w:val="20"/>
                <w:szCs w:val="20"/>
              </w:rPr>
            </w:pPr>
            <w:r>
              <w:rPr>
                <w:rFonts w:hint="eastAsia" w:ascii="宋体" w:hAnsi="宋体"/>
                <w:kern w:val="0"/>
                <w:sz w:val="20"/>
                <w:szCs w:val="20"/>
              </w:rPr>
              <w:t>结果</w:t>
            </w:r>
          </w:p>
          <w:p>
            <w:pPr>
              <w:widowControl/>
              <w:ind w:left="-136" w:leftChars="-65" w:right="-124" w:rightChars="-59"/>
              <w:jc w:val="center"/>
            </w:pPr>
            <w:r>
              <w:rPr>
                <w:rFonts w:hint="eastAsia" w:ascii="宋体" w:hAnsi="宋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宋体" w:hAnsi="宋体"/>
                <w:color w:val="000000"/>
                <w:kern w:val="0"/>
                <w:sz w:val="20"/>
                <w:szCs w:val="20"/>
              </w:rPr>
            </w:pPr>
            <w:r>
              <w:rPr>
                <w:rFonts w:hint="eastAsia" w:ascii="宋体" w:hAnsi="宋体"/>
                <w:color w:val="000000"/>
                <w:kern w:val="0"/>
                <w:sz w:val="20"/>
                <w:szCs w:val="20"/>
              </w:rPr>
              <w:t>其他</w:t>
            </w:r>
          </w:p>
          <w:p>
            <w:pPr>
              <w:widowControl/>
              <w:ind w:left="-173" w:leftChars="-83" w:right="-134" w:rightChars="-64" w:hanging="1"/>
              <w:jc w:val="center"/>
            </w:pPr>
            <w:r>
              <w:rPr>
                <w:rFonts w:hint="eastAsia" w:ascii="宋体" w:hAnsi="宋体"/>
                <w:color w:val="000000"/>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pPr>
            <w:r>
              <w:rPr>
                <w:rFonts w:hint="eastAsia" w:ascii="宋体" w:hAnsi="宋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rPr>
              <w:t>0</w:t>
            </w:r>
          </w:p>
        </w:tc>
      </w:tr>
    </w:tbl>
    <w:p>
      <w:pPr>
        <w:widowControl/>
        <w:shd w:val="clear" w:color="auto" w:fill="FFFFFF"/>
        <w:rPr>
          <w:rFonts w:ascii="宋体" w:hAnsi="宋体"/>
          <w:color w:val="333333"/>
          <w:sz w:val="24"/>
        </w:rPr>
      </w:pPr>
    </w:p>
    <w:p>
      <w:pPr>
        <w:pStyle w:val="6"/>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五、存在的主要问题及改进情况</w:t>
      </w:r>
    </w:p>
    <w:p>
      <w:pPr>
        <w:widowControl/>
        <w:spacing w:line="600" w:lineRule="exact"/>
        <w:ind w:firstLine="643" w:firstLineChars="200"/>
        <w:rPr>
          <w:rFonts w:ascii="楷体_GB2312" w:hAnsi="宋体" w:eastAsia="楷体_GB2312"/>
          <w:b/>
          <w:kern w:val="0"/>
          <w:sz w:val="32"/>
          <w:szCs w:val="32"/>
        </w:rPr>
      </w:pPr>
      <w:r>
        <w:rPr>
          <w:rFonts w:hint="eastAsia" w:ascii="楷体_GB2312" w:hAnsi="宋体" w:eastAsia="楷体_GB2312"/>
          <w:b/>
          <w:kern w:val="0"/>
          <w:sz w:val="32"/>
          <w:szCs w:val="32"/>
        </w:rPr>
        <w:t>（一）202</w:t>
      </w:r>
      <w:r>
        <w:rPr>
          <w:rFonts w:hint="eastAsia" w:ascii="楷体_GB2312" w:hAnsi="宋体" w:eastAsia="楷体_GB2312"/>
          <w:b/>
          <w:kern w:val="0"/>
          <w:sz w:val="32"/>
          <w:szCs w:val="32"/>
          <w:lang w:val="en-US" w:eastAsia="zh-CN"/>
        </w:rPr>
        <w:t>1</w:t>
      </w:r>
      <w:r>
        <w:rPr>
          <w:rFonts w:hint="eastAsia" w:ascii="楷体_GB2312" w:hAnsi="宋体" w:eastAsia="楷体_GB2312"/>
          <w:b/>
          <w:kern w:val="0"/>
          <w:sz w:val="32"/>
          <w:szCs w:val="32"/>
        </w:rPr>
        <w:t>年问题整改情况。</w:t>
      </w:r>
    </w:p>
    <w:p>
      <w:pPr>
        <w:widowControl/>
        <w:spacing w:line="600" w:lineRule="exact"/>
        <w:ind w:firstLine="640" w:firstLineChars="200"/>
        <w:rPr>
          <w:rFonts w:hint="eastAsia" w:ascii="仿宋_GB2312" w:hAnsi="宋体" w:eastAsia="仿宋_GB2312"/>
          <w:kern w:val="0"/>
          <w:sz w:val="32"/>
          <w:szCs w:val="32"/>
          <w:lang w:eastAsia="zh-CN"/>
        </w:rPr>
      </w:pPr>
      <w:r>
        <w:rPr>
          <w:rFonts w:hint="eastAsia" w:ascii="仿宋_GB2312" w:hAnsi="宋体" w:eastAsia="仿宋_GB2312"/>
          <w:kern w:val="0"/>
          <w:sz w:val="32"/>
          <w:szCs w:val="32"/>
        </w:rPr>
        <w:t>一是</w:t>
      </w:r>
      <w:r>
        <w:rPr>
          <w:rFonts w:hint="eastAsia" w:ascii="仿宋_GB2312" w:hAnsi="宋体" w:eastAsia="仿宋_GB2312"/>
          <w:kern w:val="0"/>
          <w:sz w:val="32"/>
          <w:szCs w:val="32"/>
          <w:lang w:eastAsia="zh-CN"/>
        </w:rPr>
        <w:t>加强政务公开工作培训学习。组织对政务公开相关科室单位及水气暖公用事业企业政务公开工作人员进行了培训，学习《政府信息公开条例》内容，严格按照条例规定及时对相关信息进行公开。二是进一步完善</w:t>
      </w:r>
      <w:r>
        <w:rPr>
          <w:rFonts w:hint="eastAsia" w:ascii="仿宋_GB2312" w:hAnsi="宋体" w:eastAsia="仿宋_GB2312"/>
          <w:bCs/>
          <w:kern w:val="0"/>
          <w:sz w:val="32"/>
          <w:szCs w:val="32"/>
        </w:rPr>
        <w:t>主动公开目录</w:t>
      </w:r>
      <w:r>
        <w:rPr>
          <w:rFonts w:hint="eastAsia" w:ascii="仿宋_GB2312" w:hAnsi="宋体" w:eastAsia="仿宋_GB2312"/>
          <w:bCs/>
          <w:kern w:val="0"/>
          <w:sz w:val="32"/>
          <w:szCs w:val="32"/>
          <w:lang w:eastAsia="zh-CN"/>
        </w:rPr>
        <w:t>。并指导水气暖公用事业企业完成公用事业主动公开目录，主动对全县重点工作和群众关心的水气暖民生保障工作及时进行公开。</w:t>
      </w:r>
    </w:p>
    <w:p>
      <w:pPr>
        <w:widowControl/>
        <w:spacing w:line="600" w:lineRule="exact"/>
        <w:ind w:firstLine="643" w:firstLineChars="200"/>
        <w:rPr>
          <w:rFonts w:ascii="楷体_GB2312" w:hAnsi="宋体" w:eastAsia="楷体_GB2312"/>
          <w:b/>
          <w:kern w:val="0"/>
          <w:sz w:val="32"/>
          <w:szCs w:val="32"/>
        </w:rPr>
      </w:pPr>
      <w:r>
        <w:rPr>
          <w:rFonts w:hint="eastAsia" w:ascii="楷体_GB2312" w:hAnsi="宋体" w:eastAsia="楷体_GB2312"/>
          <w:b/>
          <w:kern w:val="0"/>
          <w:sz w:val="32"/>
          <w:szCs w:val="32"/>
        </w:rPr>
        <w:t>（二）202</w:t>
      </w:r>
      <w:r>
        <w:rPr>
          <w:rFonts w:hint="eastAsia" w:ascii="楷体_GB2312" w:hAnsi="宋体" w:eastAsia="楷体_GB2312"/>
          <w:b/>
          <w:kern w:val="0"/>
          <w:sz w:val="32"/>
          <w:szCs w:val="32"/>
          <w:lang w:val="en-US" w:eastAsia="zh-CN"/>
        </w:rPr>
        <w:t>2</w:t>
      </w:r>
      <w:r>
        <w:rPr>
          <w:rFonts w:hint="eastAsia" w:ascii="楷体_GB2312" w:hAnsi="宋体" w:eastAsia="楷体_GB2312"/>
          <w:b/>
          <w:kern w:val="0"/>
          <w:sz w:val="32"/>
          <w:szCs w:val="32"/>
        </w:rPr>
        <w:t>年存在的主要问题。</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bCs/>
          <w:kern w:val="0"/>
          <w:sz w:val="32"/>
          <w:szCs w:val="32"/>
        </w:rPr>
        <w:t>一是</w:t>
      </w:r>
      <w:r>
        <w:rPr>
          <w:rFonts w:hint="eastAsia" w:ascii="仿宋_GB2312" w:hAnsi="宋体" w:eastAsia="仿宋_GB2312"/>
          <w:bCs/>
          <w:kern w:val="0"/>
          <w:sz w:val="32"/>
          <w:szCs w:val="32"/>
          <w:lang w:eastAsia="zh-CN"/>
        </w:rPr>
        <w:t>部分政务信息公开不够及时。平时工作动态未能及时向群众公开，导致群众对我们工作产生误解，比如城区道路建设等市政项目未能及时将施工情况、进展情况进行及时公开，影响群众出行，导致群众对政府工作产生误解。二是政务公开内容形式单一，主要通过昌乐门户网站和局公众号对有关工作信息进行公开，信息内容制作也比较单一，没有亮点，不够新颖，文字信息比较多，图片、视频信息比较少。</w:t>
      </w:r>
    </w:p>
    <w:p>
      <w:pPr>
        <w:widowControl/>
        <w:spacing w:line="600" w:lineRule="exact"/>
        <w:ind w:firstLine="643" w:firstLineChars="200"/>
        <w:rPr>
          <w:rFonts w:ascii="楷体_GB2312" w:hAnsi="宋体" w:eastAsia="楷体_GB2312"/>
          <w:b/>
          <w:kern w:val="0"/>
          <w:sz w:val="32"/>
          <w:szCs w:val="32"/>
        </w:rPr>
      </w:pPr>
      <w:r>
        <w:rPr>
          <w:rFonts w:hint="eastAsia" w:ascii="楷体_GB2312" w:hAnsi="宋体" w:eastAsia="楷体_GB2312"/>
          <w:b/>
          <w:kern w:val="0"/>
          <w:sz w:val="32"/>
          <w:szCs w:val="32"/>
        </w:rPr>
        <w:t>（三）改进措施。</w:t>
      </w:r>
    </w:p>
    <w:p>
      <w:pPr>
        <w:widowControl/>
        <w:spacing w:line="600" w:lineRule="exact"/>
        <w:ind w:firstLine="640" w:firstLineChars="200"/>
        <w:rPr>
          <w:rFonts w:hint="eastAsia" w:ascii="仿宋_GB2312" w:hAnsi="宋体" w:eastAsia="仿宋_GB2312"/>
          <w:bCs/>
          <w:kern w:val="0"/>
          <w:sz w:val="32"/>
          <w:szCs w:val="32"/>
          <w:lang w:eastAsia="zh-CN"/>
        </w:rPr>
      </w:pPr>
      <w:r>
        <w:rPr>
          <w:rFonts w:hint="eastAsia" w:ascii="仿宋_GB2312" w:hAnsi="宋体" w:eastAsia="仿宋_GB2312"/>
          <w:bCs/>
          <w:kern w:val="0"/>
          <w:sz w:val="32"/>
          <w:szCs w:val="32"/>
        </w:rPr>
        <w:t>一是</w:t>
      </w:r>
      <w:r>
        <w:rPr>
          <w:rFonts w:hint="eastAsia" w:ascii="仿宋_GB2312" w:hAnsi="宋体" w:eastAsia="仿宋_GB2312"/>
          <w:bCs/>
          <w:kern w:val="0"/>
          <w:sz w:val="32"/>
          <w:szCs w:val="32"/>
          <w:lang w:eastAsia="zh-CN"/>
        </w:rPr>
        <w:t>主动及时公开</w:t>
      </w:r>
      <w:r>
        <w:rPr>
          <w:rFonts w:hint="eastAsia" w:ascii="仿宋_GB2312" w:hAnsi="宋体" w:eastAsia="仿宋_GB2312"/>
          <w:bCs/>
          <w:kern w:val="0"/>
          <w:sz w:val="32"/>
          <w:szCs w:val="32"/>
        </w:rPr>
        <w:t>。</w:t>
      </w:r>
      <w:r>
        <w:rPr>
          <w:rFonts w:hint="eastAsia" w:ascii="仿宋_GB2312" w:hAnsi="宋体" w:eastAsia="仿宋_GB2312"/>
          <w:bCs/>
          <w:kern w:val="0"/>
          <w:sz w:val="32"/>
          <w:szCs w:val="32"/>
          <w:lang w:eastAsia="zh-CN"/>
        </w:rPr>
        <w:t>及时将住建工作，特别是涉及民生的水气暖公用事业信息、市政项目建设等有关信息及时通过网站、公众号及各级新闻媒体及时公布，让群众及时了解住建工作动态和有关项目进展。二是创新公开形式，积极借鉴先进单位公开方式和形式，多制作形象的图片、视频信息通过公众号等渠道进行发布，让群众更容易接受理解信息。</w:t>
      </w:r>
    </w:p>
    <w:p>
      <w:pPr>
        <w:pStyle w:val="6"/>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六、其他需要报告的事项</w:t>
      </w:r>
    </w:p>
    <w:p>
      <w:pPr>
        <w:widowControl/>
        <w:spacing w:line="600" w:lineRule="exact"/>
        <w:ind w:firstLine="643" w:firstLineChars="200"/>
        <w:rPr>
          <w:rFonts w:ascii="楷体_GB2312" w:eastAsia="楷体_GB2312" w:cs="楷体_GB2312"/>
          <w:i w:val="0"/>
          <w:iCs w:val="0"/>
          <w:caps w:val="0"/>
          <w:color w:val="000000"/>
          <w:spacing w:val="0"/>
          <w:sz w:val="32"/>
          <w:szCs w:val="32"/>
        </w:rPr>
      </w:pPr>
      <w:r>
        <w:rPr>
          <w:rFonts w:hint="eastAsia" w:ascii="楷体_GB2312" w:hAnsi="宋体" w:eastAsia="楷体_GB2312"/>
          <w:b/>
          <w:kern w:val="0"/>
          <w:sz w:val="32"/>
          <w:szCs w:val="32"/>
        </w:rPr>
        <w:t>（一）收取信息处理费情况。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年，我局未收取信息处理费。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（二）上级年度政务公开工作要点落实情况。</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根据《202</w:t>
      </w: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年</w:t>
      </w:r>
      <w:r>
        <w:rPr>
          <w:rFonts w:hint="eastAsia" w:ascii="仿宋_GB2312" w:eastAsia="仿宋_GB2312" w:cs="仿宋_GB2312"/>
          <w:i w:val="0"/>
          <w:iCs w:val="0"/>
          <w:caps w:val="0"/>
          <w:color w:val="000000"/>
          <w:spacing w:val="0"/>
          <w:kern w:val="0"/>
          <w:sz w:val="32"/>
          <w:szCs w:val="32"/>
          <w:shd w:val="clear" w:fill="FFFFFF"/>
          <w:lang w:val="en-US" w:eastAsia="zh-CN" w:bidi="ar"/>
        </w:rPr>
        <w:t>山东省政务公开第三方评估指标体系</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w:t>
      </w:r>
      <w:r>
        <w:rPr>
          <w:rFonts w:hint="eastAsia" w:ascii="仿宋_GB2312" w:eastAsia="仿宋_GB2312" w:cs="仿宋_GB2312"/>
          <w:i w:val="0"/>
          <w:iCs w:val="0"/>
          <w:caps w:val="0"/>
          <w:color w:val="000000"/>
          <w:spacing w:val="0"/>
          <w:kern w:val="0"/>
          <w:sz w:val="32"/>
          <w:szCs w:val="32"/>
          <w:shd w:val="clear" w:fill="FFFFFF"/>
          <w:lang w:val="en-US" w:eastAsia="zh-CN" w:bidi="ar"/>
        </w:rPr>
        <w:t>及县府办关于政务公开工作要求</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，涉及</w:t>
      </w:r>
      <w:r>
        <w:rPr>
          <w:rFonts w:hint="eastAsia" w:ascii="仿宋_GB2312" w:eastAsia="仿宋_GB2312" w:cs="仿宋_GB2312"/>
          <w:i w:val="0"/>
          <w:iCs w:val="0"/>
          <w:caps w:val="0"/>
          <w:color w:val="000000"/>
          <w:spacing w:val="0"/>
          <w:kern w:val="0"/>
          <w:sz w:val="32"/>
          <w:szCs w:val="32"/>
          <w:shd w:val="clear" w:fill="FFFFFF"/>
          <w:lang w:val="en-US" w:eastAsia="zh-CN" w:bidi="ar"/>
        </w:rPr>
        <w:t>我局</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责任事项已全部落实到位。</w:t>
      </w:r>
    </w:p>
    <w:p>
      <w:pPr>
        <w:widowControl/>
        <w:spacing w:line="600" w:lineRule="exact"/>
        <w:ind w:firstLine="643" w:firstLineChars="200"/>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（三）人大代表建议和政协提案办理情况。</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w:t>
      </w: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年，</w:t>
      </w:r>
      <w:r>
        <w:rPr>
          <w:rFonts w:hint="eastAsia" w:ascii="仿宋_GB2312" w:hAnsi="宋体" w:eastAsia="仿宋_GB2312"/>
          <w:kern w:val="0"/>
          <w:sz w:val="32"/>
          <w:szCs w:val="32"/>
        </w:rPr>
        <w:t>我局</w:t>
      </w:r>
      <w:r>
        <w:rPr>
          <w:rFonts w:ascii="仿宋_GB2312" w:hAnsi="宋体" w:eastAsia="仿宋_GB2312"/>
          <w:kern w:val="0"/>
          <w:sz w:val="32"/>
          <w:szCs w:val="32"/>
        </w:rPr>
        <w:t>共承办人大建议、政协提案</w:t>
      </w:r>
      <w:r>
        <w:rPr>
          <w:rFonts w:hint="eastAsia" w:ascii="仿宋_GB2312" w:hAnsi="宋体" w:eastAsia="仿宋_GB2312"/>
          <w:kern w:val="0"/>
          <w:sz w:val="32"/>
          <w:szCs w:val="32"/>
          <w:lang w:val="en-US" w:eastAsia="zh-CN"/>
        </w:rPr>
        <w:t>40</w:t>
      </w:r>
      <w:r>
        <w:rPr>
          <w:rFonts w:ascii="仿宋_GB2312" w:hAnsi="宋体" w:eastAsia="仿宋_GB2312"/>
          <w:kern w:val="0"/>
          <w:sz w:val="32"/>
          <w:szCs w:val="32"/>
        </w:rPr>
        <w:t>件，其中人大代表建议</w:t>
      </w:r>
      <w:r>
        <w:rPr>
          <w:rFonts w:hint="eastAsia" w:ascii="仿宋_GB2312" w:hAnsi="宋体" w:eastAsia="仿宋_GB2312"/>
          <w:kern w:val="0"/>
          <w:sz w:val="32"/>
          <w:szCs w:val="32"/>
          <w:lang w:val="en-US" w:eastAsia="zh-CN"/>
        </w:rPr>
        <w:t>14</w:t>
      </w:r>
      <w:r>
        <w:rPr>
          <w:rFonts w:ascii="仿宋_GB2312" w:hAnsi="宋体" w:eastAsia="仿宋_GB2312"/>
          <w:kern w:val="0"/>
          <w:sz w:val="32"/>
          <w:szCs w:val="32"/>
        </w:rPr>
        <w:t>件，政协委员提案</w:t>
      </w:r>
      <w:r>
        <w:rPr>
          <w:rFonts w:hint="eastAsia" w:ascii="仿宋_GB2312" w:hAnsi="宋体" w:eastAsia="仿宋_GB2312"/>
          <w:kern w:val="0"/>
          <w:sz w:val="32"/>
          <w:szCs w:val="32"/>
          <w:lang w:val="en-US" w:eastAsia="zh-CN"/>
        </w:rPr>
        <w:t>26</w:t>
      </w:r>
      <w:r>
        <w:rPr>
          <w:rFonts w:ascii="仿宋_GB2312" w:hAnsi="宋体" w:eastAsia="仿宋_GB2312"/>
          <w:kern w:val="0"/>
          <w:sz w:val="32"/>
          <w:szCs w:val="32"/>
        </w:rPr>
        <w:t>件，人大代表、政协委员满意率和见面答复率均为100%</w:t>
      </w:r>
      <w:r>
        <w:rPr>
          <w:rFonts w:hint="eastAsia" w:ascii="仿宋_GB2312" w:hAnsi="宋体" w:eastAsia="仿宋_GB2312"/>
          <w:kern w:val="0"/>
          <w:sz w:val="32"/>
          <w:szCs w:val="32"/>
        </w:rPr>
        <w:t>，</w:t>
      </w:r>
      <w:r>
        <w:rPr>
          <w:rFonts w:ascii="仿宋_GB2312" w:hAnsi="宋体" w:eastAsia="仿宋_GB2312"/>
          <w:kern w:val="0"/>
          <w:sz w:val="32"/>
          <w:szCs w:val="32"/>
        </w:rPr>
        <w:t>已</w:t>
      </w:r>
      <w:r>
        <w:rPr>
          <w:rFonts w:hint="eastAsia" w:ascii="仿宋_GB2312" w:hAnsi="宋体" w:eastAsia="仿宋_GB2312"/>
          <w:kern w:val="0"/>
          <w:sz w:val="32"/>
          <w:szCs w:val="32"/>
        </w:rPr>
        <w:t>在政府网站进行了公开</w:t>
      </w:r>
      <w:r>
        <w:rPr>
          <w:rFonts w:ascii="仿宋_GB2312" w:hAnsi="宋体" w:eastAsia="仿宋_GB2312"/>
          <w:kern w:val="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仿宋_GB2312" w:hAnsi="宋体" w:eastAsia="仿宋_GB2312"/>
          <w:kern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（四）年度政务公开工作创新情况。</w:t>
      </w:r>
      <w:r>
        <w:rPr>
          <w:rFonts w:ascii="仿宋_GB2312" w:hAnsi="宋体" w:eastAsia="仿宋_GB2312"/>
          <w:kern w:val="0"/>
          <w:sz w:val="32"/>
          <w:szCs w:val="32"/>
        </w:rPr>
        <w:t>我局组织开展</w:t>
      </w:r>
      <w:r>
        <w:rPr>
          <w:rFonts w:hint="eastAsia" w:ascii="仿宋_GB2312" w:hAnsi="宋体" w:eastAsia="仿宋_GB2312"/>
          <w:kern w:val="0"/>
          <w:sz w:val="32"/>
          <w:szCs w:val="32"/>
          <w:lang w:eastAsia="zh-CN"/>
        </w:rPr>
        <w:t>供热服务入户宣传走访活动，深入集中供热小区</w:t>
      </w:r>
      <w:r>
        <w:rPr>
          <w:rFonts w:hint="eastAsia" w:ascii="仿宋_GB2312" w:hAnsi="仿宋_GB2312" w:eastAsia="仿宋_GB2312" w:cs="仿宋_GB2312"/>
          <w:sz w:val="32"/>
          <w:szCs w:val="32"/>
          <w:lang w:val="en-US" w:eastAsia="zh-CN"/>
        </w:rPr>
        <w:t>宣传供热常识，放宣传材料，听取群众供热意见建议，主动公开供热企业服务管家电话和住建局供热服务监督电话，</w:t>
      </w:r>
      <w:r>
        <w:rPr>
          <w:rFonts w:hint="eastAsia" w:ascii="仿宋_GB2312" w:hAnsi="宋体" w:eastAsia="仿宋_GB2312"/>
          <w:kern w:val="0"/>
          <w:sz w:val="32"/>
          <w:szCs w:val="32"/>
        </w:rPr>
        <w:t>进一步拉近与群众的距离</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提升群众满意度</w:t>
      </w:r>
      <w:r>
        <w:rPr>
          <w:rFonts w:hint="eastAsia" w:ascii="仿宋_GB2312" w:hAnsi="宋体" w:eastAsia="仿宋_GB2312"/>
          <w:kern w:val="0"/>
          <w:sz w:val="32"/>
          <w:szCs w:val="32"/>
          <w:lang w:eastAsia="zh-CN"/>
        </w:rPr>
        <w:t>，并通过局公众号适时宣传住建工作动态、相关法律政策等。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（五）报告数据统计说明。</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本报告所列数据统计期限为202</w:t>
      </w: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年1月1日至202</w:t>
      </w:r>
      <w:r>
        <w:rPr>
          <w:rFonts w:hint="eastAsia" w:ascii="仿宋_GB2312" w:eastAsia="仿宋_GB2312" w:cs="仿宋_GB2312"/>
          <w:i w:val="0"/>
          <w:iCs w:val="0"/>
          <w:caps w:val="0"/>
          <w:color w:val="000000"/>
          <w:spacing w:val="0"/>
          <w:kern w:val="0"/>
          <w:sz w:val="32"/>
          <w:szCs w:val="32"/>
          <w:shd w:val="clear" w:fill="FFFFFF"/>
          <w:lang w:val="en-US" w:eastAsia="zh-CN" w:bidi="ar"/>
        </w:rPr>
        <w:t>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（六）本行政机关认为需要报告的其他事项。</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（七）其他有关文件专门要求报告的事项。</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无。</w:t>
      </w:r>
    </w:p>
    <w:p>
      <w:pPr>
        <w:pStyle w:val="6"/>
        <w:widowControl/>
        <w:shd w:val="clear" w:color="auto" w:fill="FFFFFF"/>
        <w:spacing w:beforeAutospacing="0" w:afterAutospacing="0"/>
        <w:ind w:firstLine="420"/>
        <w:jc w:val="both"/>
        <w:rPr>
          <w:rFonts w:ascii="仿宋_GB2312" w:hAnsi="宋体" w:eastAsia="仿宋_GB2312" w:cs="宋体"/>
          <w:color w:val="333333"/>
          <w:sz w:val="32"/>
          <w:szCs w:val="32"/>
          <w:shd w:val="clear" w:color="auto" w:fill="FFFFFF"/>
        </w:rPr>
      </w:pPr>
    </w:p>
    <w:p>
      <w:pPr>
        <w:pStyle w:val="6"/>
        <w:widowControl/>
        <w:shd w:val="clear" w:color="auto" w:fill="FFFFFF"/>
        <w:spacing w:beforeAutospacing="0" w:afterAutospacing="0"/>
        <w:ind w:firstLine="420"/>
        <w:jc w:val="right"/>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昌乐县住房和城乡建设局</w:t>
      </w:r>
    </w:p>
    <w:p>
      <w:pPr>
        <w:pStyle w:val="6"/>
        <w:widowControl/>
        <w:shd w:val="clear" w:color="auto" w:fill="FFFFFF"/>
        <w:spacing w:beforeAutospacing="0" w:afterAutospacing="0"/>
        <w:ind w:firstLine="420"/>
        <w:jc w:val="right"/>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202</w:t>
      </w:r>
      <w:r>
        <w:rPr>
          <w:rFonts w:hint="eastAsia" w:ascii="仿宋_GB2312" w:hAnsi="宋体" w:eastAsia="仿宋_GB2312" w:cs="宋体"/>
          <w:color w:val="333333"/>
          <w:sz w:val="32"/>
          <w:szCs w:val="32"/>
          <w:shd w:val="clear" w:color="auto" w:fill="FFFFFF"/>
          <w:lang w:val="en-US" w:eastAsia="zh-CN"/>
        </w:rPr>
        <w:t>3</w:t>
      </w:r>
      <w:r>
        <w:rPr>
          <w:rFonts w:hint="eastAsia" w:ascii="仿宋_GB2312" w:hAnsi="宋体" w:eastAsia="仿宋_GB2312" w:cs="宋体"/>
          <w:color w:val="333333"/>
          <w:sz w:val="32"/>
          <w:szCs w:val="32"/>
          <w:shd w:val="clear" w:color="auto" w:fill="FFFFFF"/>
        </w:rPr>
        <w:t>年1月</w:t>
      </w:r>
      <w:r>
        <w:rPr>
          <w:rFonts w:hint="eastAsia" w:ascii="仿宋_GB2312" w:hAnsi="宋体" w:eastAsia="仿宋_GB2312" w:cs="宋体"/>
          <w:color w:val="333333"/>
          <w:sz w:val="32"/>
          <w:szCs w:val="32"/>
          <w:shd w:val="clear" w:color="auto" w:fill="FFFFFF"/>
          <w:lang w:val="en-US" w:eastAsia="zh-CN"/>
        </w:rPr>
        <w:t>18</w:t>
      </w:r>
      <w:r>
        <w:rPr>
          <w:rFonts w:hint="eastAsia" w:ascii="仿宋_GB2312" w:hAnsi="宋体" w:eastAsia="仿宋_GB2312" w:cs="宋体"/>
          <w:color w:val="333333"/>
          <w:sz w:val="32"/>
          <w:szCs w:val="32"/>
          <w:shd w:val="clear" w:color="auto" w:fill="FFFFFF"/>
        </w:rPr>
        <w:t>日</w:t>
      </w:r>
    </w:p>
    <w:sectPr>
      <w:footerReference r:id="rId3" w:type="default"/>
      <w:pgSz w:w="11906" w:h="16838"/>
      <w:pgMar w:top="181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Y2FjNzlkZDdlYTZjYTU3YmM5MDQwM2RjZTdmZDgifQ=="/>
  </w:docVars>
  <w:rsids>
    <w:rsidRoot w:val="00A66024"/>
    <w:rsid w:val="0020137C"/>
    <w:rsid w:val="004A5BE0"/>
    <w:rsid w:val="005F462A"/>
    <w:rsid w:val="0080680A"/>
    <w:rsid w:val="00A66024"/>
    <w:rsid w:val="00BE3693"/>
    <w:rsid w:val="00D261E0"/>
    <w:rsid w:val="00D30672"/>
    <w:rsid w:val="00D52D33"/>
    <w:rsid w:val="00DE336F"/>
    <w:rsid w:val="00DF0946"/>
    <w:rsid w:val="00E65F89"/>
    <w:rsid w:val="00E73188"/>
    <w:rsid w:val="00F05C53"/>
    <w:rsid w:val="13364D60"/>
    <w:rsid w:val="175F3C12"/>
    <w:rsid w:val="1D32075E"/>
    <w:rsid w:val="21A62375"/>
    <w:rsid w:val="41F30A12"/>
    <w:rsid w:val="4F891A15"/>
    <w:rsid w:val="5E182B79"/>
    <w:rsid w:val="713C0B66"/>
    <w:rsid w:val="77F554DB"/>
    <w:rsid w:val="7A83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10"/>
    <w:qFormat/>
    <w:uiPriority w:val="0"/>
    <w:pPr>
      <w:spacing w:before="240" w:after="60" w:line="312" w:lineRule="auto"/>
      <w:jc w:val="center"/>
      <w:outlineLvl w:val="1"/>
    </w:pPr>
    <w:rPr>
      <w:rFonts w:ascii="Calibri Light" w:hAnsi="Calibri Light"/>
      <w:b/>
      <w:bCs/>
      <w:kern w:val="28"/>
      <w:sz w:val="32"/>
      <w:szCs w:val="32"/>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批注框文本 Char"/>
    <w:basedOn w:val="8"/>
    <w:link w:val="2"/>
    <w:qFormat/>
    <w:uiPriority w:val="0"/>
    <w:rPr>
      <w:rFonts w:ascii="Calibri" w:hAnsi="Calibri" w:eastAsia="宋体" w:cs="宋体"/>
      <w:kern w:val="2"/>
      <w:sz w:val="18"/>
      <w:szCs w:val="18"/>
    </w:rPr>
  </w:style>
  <w:style w:type="character" w:customStyle="1" w:styleId="10">
    <w:name w:val="副标题 Char"/>
    <w:basedOn w:val="8"/>
    <w:link w:val="5"/>
    <w:qFormat/>
    <w:uiPriority w:val="0"/>
    <w:rPr>
      <w:rFonts w:ascii="Calibri Light" w:hAnsi="Calibri Light" w:cs="宋体"/>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2798</Words>
  <Characters>2894</Characters>
  <Lines>20</Lines>
  <Paragraphs>5</Paragraphs>
  <TotalTime>7</TotalTime>
  <ScaleCrop>false</ScaleCrop>
  <LinksUpToDate>false</LinksUpToDate>
  <CharactersWithSpaces>2898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2021-01-08T00:55:00Z</dcterms:created>
  <dc:creator>January</dc:creator>
  <cp:lastModifiedBy>李国</cp:lastModifiedBy>
  <cp:lastPrinted>2021-02-05T08:21:00Z</cp:lastPrinted>
  <dcterms:modified xsi:type="dcterms:W3CDTF">2024-02-21T02:55:13Z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CE67C4DA35CB46BBBBDBF9E5DDA54A33</vt:lpwstr>
  </property>
</Properties>
</file>