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黑体" w:hAnsi="宋体" w:eastAsia="黑体" w:cs="黑体"/>
          <w:i w:val="0"/>
          <w:caps w:val="0"/>
          <w:color w:val="000000"/>
          <w:spacing w:val="0"/>
          <w:kern w:val="0"/>
          <w:sz w:val="32"/>
          <w:szCs w:val="32"/>
          <w:lang w:val="en-US" w:eastAsia="zh-CN" w:bidi="ar"/>
        </w:rPr>
      </w:pPr>
      <w:bookmarkStart w:id="0" w:name="_GoBack"/>
      <w:r>
        <w:rPr>
          <w:rFonts w:hint="eastAsia" w:ascii="黑体" w:hAnsi="宋体" w:eastAsia="黑体" w:cs="黑体"/>
          <w:i w:val="0"/>
          <w:caps w:val="0"/>
          <w:color w:val="000000"/>
          <w:spacing w:val="0"/>
          <w:kern w:val="0"/>
          <w:sz w:val="32"/>
          <w:szCs w:val="32"/>
          <w:lang w:val="en-US" w:eastAsia="zh-CN" w:bidi="ar"/>
        </w:rPr>
        <w:t>营丘镇2019年政府信息公开工作年度报告</w:t>
      </w:r>
    </w:p>
    <w:bookmarkEnd w:id="0"/>
    <w:p>
      <w:pPr>
        <w:keepNext w:val="0"/>
        <w:keepLines w:val="0"/>
        <w:widowControl/>
        <w:suppressLineNumbers w:val="0"/>
        <w:jc w:val="left"/>
      </w:pPr>
      <w:r>
        <w:rPr>
          <w:rFonts w:ascii="黑体" w:hAnsi="宋体" w:eastAsia="黑体" w:cs="黑体"/>
          <w:i w:val="0"/>
          <w:caps w:val="0"/>
          <w:color w:val="000000"/>
          <w:spacing w:val="0"/>
          <w:kern w:val="0"/>
          <w:sz w:val="32"/>
          <w:szCs w:val="32"/>
          <w:lang w:val="en-US" w:eastAsia="zh-CN" w:bidi="ar"/>
        </w:rPr>
        <w:t>一、总体情况</w:t>
      </w:r>
    </w:p>
    <w:p>
      <w:pPr>
        <w:keepNext w:val="0"/>
        <w:keepLines w:val="0"/>
        <w:widowControl/>
        <w:suppressLineNumbers w:val="0"/>
        <w:spacing w:before="0" w:beforeAutospacing="0" w:after="0" w:afterAutospacing="0" w:line="15" w:lineRule="atLeast"/>
        <w:ind w:left="0" w:right="0" w:firstLine="640"/>
        <w:jc w:val="left"/>
        <w:rPr>
          <w:rFonts w:hint="eastAsia" w:ascii="宋体" w:hAnsi="宋体" w:eastAsia="宋体" w:cs="宋体"/>
          <w:i w:val="0"/>
          <w:caps w:val="0"/>
          <w:color w:val="000000"/>
          <w:spacing w:val="0"/>
          <w:sz w:val="24"/>
          <w:szCs w:val="24"/>
        </w:rPr>
      </w:pPr>
      <w:r>
        <w:rPr>
          <w:rFonts w:ascii="仿宋_GB2312" w:hAnsi="宋体" w:eastAsia="仿宋_GB2312" w:cs="仿宋_GB2312"/>
          <w:i w:val="0"/>
          <w:caps w:val="0"/>
          <w:color w:val="000000"/>
          <w:spacing w:val="0"/>
          <w:kern w:val="0"/>
          <w:sz w:val="32"/>
          <w:szCs w:val="32"/>
          <w:lang w:val="en-US" w:eastAsia="zh-CN" w:bidi="ar"/>
        </w:rPr>
        <w:t>201</w:t>
      </w:r>
      <w:r>
        <w:rPr>
          <w:rFonts w:hint="eastAsia" w:ascii="仿宋_GB2312" w:hAnsi="宋体" w:eastAsia="仿宋_GB2312" w:cs="仿宋_GB2312"/>
          <w:i w:val="0"/>
          <w:caps w:val="0"/>
          <w:color w:val="000000"/>
          <w:spacing w:val="0"/>
          <w:kern w:val="0"/>
          <w:sz w:val="32"/>
          <w:szCs w:val="32"/>
          <w:lang w:val="en-US" w:eastAsia="zh-CN" w:bidi="ar"/>
        </w:rPr>
        <w:t>9年，营丘镇信息公开工作按照省、市、县相关要求，强化组织领导，创新工作思路，严格责任追究，不断夯实工作基础，提高服务质量和服务水平，积极推进信息公开工作走深走实，取得了一定成效。强化领导，压实责任。由镇政府信息公开工作领导小组统筹领导，负责全镇政府信息公开工作。扎实做好重要政策解读信息发布、社会关切回应，加强对社会舆情信息的收集、分析和研判工作，各站办所、各工作片及时通过相关途径对社会公众普遍关注关切的信息进行回应。加强了市长热线、县长热线、民生网等平台建设，通过平台及时地回复群众提出的问题、处理群众的投诉、接受群众提出的意见建议。</w:t>
      </w:r>
    </w:p>
    <w:p>
      <w:pPr>
        <w:keepNext w:val="0"/>
        <w:keepLines w:val="0"/>
        <w:widowControl/>
        <w:suppressLineNumbers w:val="0"/>
        <w:spacing w:before="0" w:beforeAutospacing="0" w:after="0" w:afterAutospacing="0" w:line="15"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（一）主动公开政府信息情况</w:t>
      </w:r>
    </w:p>
    <w:p>
      <w:pPr>
        <w:keepNext w:val="0"/>
        <w:keepLines w:val="0"/>
        <w:widowControl/>
        <w:suppressLineNumbers w:val="0"/>
        <w:spacing w:before="0" w:beforeAutospacing="0" w:after="0" w:afterAutospacing="0" w:line="15"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2019年，通过政务网站、信息公开平台、电视、报纸、公开栏等不同渠道和方式公开政府信息761条，其中政府网站公开政府信息数60条，其他方式公开政府信息701条。</w:t>
      </w:r>
    </w:p>
    <w:p>
      <w:pPr>
        <w:keepNext w:val="0"/>
        <w:keepLines w:val="0"/>
        <w:widowControl/>
        <w:suppressLineNumbers w:val="0"/>
        <w:spacing w:before="0" w:beforeAutospacing="0" w:after="0" w:afterAutospacing="0" w:line="15"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（二）政府信息依申请公开办理情况</w:t>
      </w:r>
    </w:p>
    <w:p>
      <w:pPr>
        <w:keepNext w:val="0"/>
        <w:keepLines w:val="0"/>
        <w:widowControl/>
        <w:suppressLineNumbers w:val="0"/>
        <w:spacing w:before="0" w:beforeAutospacing="0" w:after="0" w:afterAutospacing="0" w:line="15"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本年度我镇未收到关于依申请公开政府信息的申请。</w:t>
      </w:r>
    </w:p>
    <w:p>
      <w:pPr>
        <w:keepNext w:val="0"/>
        <w:keepLines w:val="0"/>
        <w:widowControl/>
        <w:suppressLineNumbers w:val="0"/>
        <w:spacing w:before="0" w:beforeAutospacing="0" w:after="0" w:afterAutospacing="0" w:line="15"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（三）政府信息管理情况</w:t>
      </w:r>
    </w:p>
    <w:p>
      <w:pPr>
        <w:keepNext w:val="0"/>
        <w:keepLines w:val="0"/>
        <w:widowControl/>
        <w:suppressLineNumbers w:val="0"/>
        <w:spacing w:before="0" w:beforeAutospacing="0" w:after="0" w:afterAutospacing="0" w:line="15"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根据国家、省、市对政府信息公开工作的新要求，及时制定本地区年度公开工作要点，细化公开内容和公开标准，保障政府信息公开有条不紊地进行。</w:t>
      </w:r>
    </w:p>
    <w:p>
      <w:pPr>
        <w:keepNext w:val="0"/>
        <w:keepLines w:val="0"/>
        <w:widowControl/>
        <w:suppressLineNumbers w:val="0"/>
        <w:spacing w:before="0" w:beforeAutospacing="0" w:after="0" w:afterAutospacing="0" w:line="15"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（四）政府信息公开平台建设情况</w:t>
      </w:r>
    </w:p>
    <w:p>
      <w:pPr>
        <w:keepNext w:val="0"/>
        <w:keepLines w:val="0"/>
        <w:widowControl/>
        <w:suppressLineNumbers w:val="0"/>
        <w:spacing w:before="0" w:beforeAutospacing="0" w:after="0" w:afterAutospacing="0" w:line="15"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按照县委、县政府统一安排，扎实做好政务网站公开工作。利用新媒体账号“古都营丘”微信公众平台发布我镇日常工作信息，确保政务工作平台发挥实效。</w:t>
      </w:r>
    </w:p>
    <w:p>
      <w:pPr>
        <w:keepNext w:val="0"/>
        <w:keepLines w:val="0"/>
        <w:widowControl/>
        <w:suppressLineNumbers w:val="0"/>
        <w:spacing w:before="0" w:beforeAutospacing="0" w:after="0" w:afterAutospacing="0" w:line="15"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（五）政府信息公开工作的监督保障情况</w:t>
      </w:r>
    </w:p>
    <w:p>
      <w:pPr>
        <w:keepNext w:val="0"/>
        <w:keepLines w:val="0"/>
        <w:widowControl/>
        <w:suppressLineNumbers w:val="0"/>
        <w:spacing w:before="0" w:beforeAutospacing="0" w:after="0" w:afterAutospacing="0" w:line="15" w:lineRule="atLeast"/>
        <w:ind w:left="0" w:right="0" w:firstLine="64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根据相关要求，营丘镇认真对拟进行公开的政府信息由近及远开展梳理，分阶段逐步明确政府信息的公开属性，按照分类要求，建立健全信息公开平台，不断完善和改进营丘镇政务公开网的结构和内容，将政府工作的动态和亮点准确地向全社会公开，做到拓宽公开渠道、丰富公开形式。同时每月开展相关工作自查，对全镇政务公开工作问题及时梳理，发现问题及时整改。</w:t>
      </w:r>
    </w:p>
    <w:p>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    （六）建议提案办理结果公开情况</w:t>
      </w:r>
    </w:p>
    <w:p>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    2019年度，我单位未收到人大代表建议和政协委员提案。</w:t>
      </w:r>
    </w:p>
    <w:p>
      <w:pPr>
        <w:pStyle w:val="2"/>
        <w:keepNext w:val="0"/>
        <w:keepLines w:val="0"/>
        <w:widowControl/>
        <w:suppressLineNumbers w:val="0"/>
        <w:spacing w:before="0" w:beforeAutospacing="0" w:after="240" w:afterAutospacing="0" w:line="15" w:lineRule="atLeast"/>
        <w:ind w:left="0" w:right="0" w:firstLine="64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333333"/>
          <w:spacing w:val="0"/>
          <w:sz w:val="32"/>
          <w:szCs w:val="32"/>
        </w:rPr>
        <w:t>二、主动公开政府信息情况</w:t>
      </w:r>
    </w:p>
    <w:tbl>
      <w:tblPr>
        <w:tblW w:w="8708" w:type="dxa"/>
        <w:jc w:val="center"/>
        <w:shd w:val="clear"/>
        <w:tblLayout w:type="autofit"/>
        <w:tblCellMar>
          <w:top w:w="15" w:type="dxa"/>
          <w:left w:w="15" w:type="dxa"/>
          <w:bottom w:w="15" w:type="dxa"/>
          <w:right w:w="15" w:type="dxa"/>
        </w:tblCellMar>
      </w:tblPr>
      <w:tblGrid>
        <w:gridCol w:w="3073"/>
        <w:gridCol w:w="17"/>
        <w:gridCol w:w="2095"/>
        <w:gridCol w:w="1505"/>
        <w:gridCol w:w="2018"/>
      </w:tblGrid>
      <w:tr>
        <w:tblPrEx>
          <w:shd w:val="clear"/>
          <w:tblCellMar>
            <w:top w:w="15" w:type="dxa"/>
            <w:left w:w="15" w:type="dxa"/>
            <w:bottom w:w="15" w:type="dxa"/>
            <w:right w:w="15"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第二十条第（一）项</w:t>
            </w:r>
          </w:p>
        </w:tc>
      </w:tr>
      <w:tr>
        <w:tblPrEx>
          <w:tblCellMar>
            <w:top w:w="15" w:type="dxa"/>
            <w:left w:w="15" w:type="dxa"/>
            <w:bottom w:w="15" w:type="dxa"/>
            <w:right w:w="15"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本年新制作数量</w:t>
            </w:r>
          </w:p>
        </w:tc>
        <w:tc>
          <w:tcPr>
            <w:tcW w:w="15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本年新</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公开数量</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对外公开</w:t>
            </w:r>
          </w:p>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总数量</w:t>
            </w:r>
          </w:p>
        </w:tc>
      </w:tr>
      <w:tr>
        <w:tblPrEx>
          <w:shd w:val="clear"/>
          <w:tblCellMar>
            <w:top w:w="15" w:type="dxa"/>
            <w:left w:w="15" w:type="dxa"/>
            <w:bottom w:w="15" w:type="dxa"/>
            <w:right w:w="15"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规章</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tblPrEx>
          <w:shd w:val="clear"/>
          <w:tblCellMar>
            <w:top w:w="15" w:type="dxa"/>
            <w:left w:w="15" w:type="dxa"/>
            <w:bottom w:w="15" w:type="dxa"/>
            <w:right w:w="15"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规范性文件</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tblPrEx>
          <w:shd w:val="clear"/>
          <w:tblCellMar>
            <w:top w:w="15" w:type="dxa"/>
            <w:left w:w="15" w:type="dxa"/>
            <w:bottom w:w="15" w:type="dxa"/>
            <w:right w:w="15"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第二十条第（五）项</w:t>
            </w:r>
          </w:p>
        </w:tc>
      </w:tr>
      <w:tr>
        <w:tblPrEx>
          <w:shd w:val="clear"/>
          <w:tblCellMar>
            <w:top w:w="15" w:type="dxa"/>
            <w:left w:w="15" w:type="dxa"/>
            <w:bottom w:w="15" w:type="dxa"/>
            <w:right w:w="15"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处理决定数量</w:t>
            </w:r>
          </w:p>
        </w:tc>
      </w:tr>
      <w:tr>
        <w:tblPrEx>
          <w:shd w:val="clear"/>
          <w:tblCellMar>
            <w:top w:w="15" w:type="dxa"/>
            <w:left w:w="15" w:type="dxa"/>
            <w:bottom w:w="15" w:type="dxa"/>
            <w:right w:w="15"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行政许可</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tblPrEx>
          <w:shd w:val="clear"/>
          <w:tblCellMar>
            <w:top w:w="15" w:type="dxa"/>
            <w:left w:w="15" w:type="dxa"/>
            <w:bottom w:w="15" w:type="dxa"/>
            <w:right w:w="15"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其他对外管理服务事项</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tblPrEx>
          <w:shd w:val="clear"/>
          <w:tblCellMar>
            <w:top w:w="15" w:type="dxa"/>
            <w:left w:w="15" w:type="dxa"/>
            <w:bottom w:w="15" w:type="dxa"/>
            <w:right w:w="15"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第二十条第（六）项</w:t>
            </w:r>
          </w:p>
        </w:tc>
      </w:tr>
      <w:tr>
        <w:tblPrEx>
          <w:shd w:val="clear"/>
          <w:tblCellMar>
            <w:top w:w="15" w:type="dxa"/>
            <w:left w:w="15" w:type="dxa"/>
            <w:bottom w:w="15" w:type="dxa"/>
            <w:right w:w="15"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处理决定数量</w:t>
            </w:r>
          </w:p>
        </w:tc>
      </w:tr>
      <w:tr>
        <w:tblPrEx>
          <w:shd w:val="clear"/>
          <w:tblCellMar>
            <w:top w:w="15" w:type="dxa"/>
            <w:left w:w="15" w:type="dxa"/>
            <w:bottom w:w="15" w:type="dxa"/>
            <w:right w:w="15"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行政处罚</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tblPrEx>
          <w:shd w:val="clear"/>
          <w:tblCellMar>
            <w:top w:w="15" w:type="dxa"/>
            <w:left w:w="15" w:type="dxa"/>
            <w:bottom w:w="15" w:type="dxa"/>
            <w:right w:w="15"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行政强制</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　</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tblPrEx>
          <w:shd w:val="clear"/>
          <w:tblCellMar>
            <w:top w:w="15" w:type="dxa"/>
            <w:left w:w="15" w:type="dxa"/>
            <w:bottom w:w="15" w:type="dxa"/>
            <w:right w:w="15"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第二十条第（八）项</w:t>
            </w:r>
          </w:p>
        </w:tc>
      </w:tr>
      <w:tr>
        <w:tblPrEx>
          <w:tblCellMar>
            <w:top w:w="15" w:type="dxa"/>
            <w:left w:w="15" w:type="dxa"/>
            <w:bottom w:w="15" w:type="dxa"/>
            <w:right w:w="15"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上一年项目数量</w:t>
            </w:r>
          </w:p>
        </w:tc>
        <w:tc>
          <w:tcPr>
            <w:tcW w:w="3523" w:type="dxa"/>
            <w:gridSpan w:val="2"/>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本年增/减</w:t>
            </w:r>
          </w:p>
        </w:tc>
      </w:tr>
      <w:tr>
        <w:tblPrEx>
          <w:shd w:val="clear"/>
          <w:tblCellMar>
            <w:top w:w="15" w:type="dxa"/>
            <w:left w:w="15" w:type="dxa"/>
            <w:bottom w:w="15" w:type="dxa"/>
            <w:right w:w="15"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行政事业性收费</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3523" w:type="dxa"/>
            <w:gridSpan w:val="2"/>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tblPrEx>
          <w:shd w:val="clear"/>
          <w:tblCellMar>
            <w:top w:w="15" w:type="dxa"/>
            <w:left w:w="15" w:type="dxa"/>
            <w:bottom w:w="15" w:type="dxa"/>
            <w:right w:w="15"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第二十条第（九）项</w:t>
            </w:r>
          </w:p>
        </w:tc>
      </w:tr>
      <w:tr>
        <w:tblPrEx>
          <w:shd w:val="clear"/>
          <w:tblCellMar>
            <w:top w:w="15" w:type="dxa"/>
            <w:left w:w="15" w:type="dxa"/>
            <w:bottom w:w="15" w:type="dxa"/>
            <w:right w:w="15"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0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采购项目数量</w:t>
            </w:r>
          </w:p>
        </w:tc>
        <w:tc>
          <w:tcPr>
            <w:tcW w:w="3523" w:type="dxa"/>
            <w:gridSpan w:val="2"/>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采购总金额</w:t>
            </w:r>
          </w:p>
        </w:tc>
      </w:tr>
      <w:tr>
        <w:tblPrEx>
          <w:shd w:val="clear"/>
          <w:tblCellMar>
            <w:top w:w="15" w:type="dxa"/>
            <w:left w:w="15" w:type="dxa"/>
            <w:bottom w:w="15" w:type="dxa"/>
            <w:right w:w="15"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政府集中采购</w:t>
            </w:r>
          </w:p>
        </w:tc>
        <w:tc>
          <w:tcPr>
            <w:tcW w:w="20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3523" w:type="dxa"/>
            <w:gridSpan w:val="2"/>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bl>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333333"/>
          <w:spacing w:val="0"/>
          <w:sz w:val="24"/>
          <w:szCs w:val="24"/>
        </w:rPr>
        <w:t> </w:t>
      </w:r>
    </w:p>
    <w:p>
      <w:pPr>
        <w:pStyle w:val="2"/>
        <w:keepNext w:val="0"/>
        <w:keepLines w:val="0"/>
        <w:widowControl/>
        <w:suppressLineNumbers w:val="0"/>
        <w:spacing w:before="0" w:beforeAutospacing="0" w:after="240" w:afterAutospacing="0" w:line="15" w:lineRule="atLeast"/>
        <w:ind w:left="-199" w:right="0" w:firstLine="62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333333"/>
          <w:spacing w:val="0"/>
          <w:sz w:val="32"/>
          <w:szCs w:val="32"/>
        </w:rPr>
        <w:t>三、收到和处理政府信息公开申请情况</w:t>
      </w:r>
    </w:p>
    <w:tbl>
      <w:tblP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6"/>
        <w:gridCol w:w="1405"/>
        <w:gridCol w:w="2793"/>
        <w:gridCol w:w="842"/>
        <w:gridCol w:w="562"/>
        <w:gridCol w:w="562"/>
        <w:gridCol w:w="562"/>
        <w:gridCol w:w="562"/>
        <w:gridCol w:w="536"/>
        <w:gridCol w:w="6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（本列数据的勾稽关系为：第一项加第二项之和，</w:t>
            </w:r>
          </w:p>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等于第三项加第四项之和）</w:t>
            </w:r>
          </w:p>
        </w:tc>
        <w:tc>
          <w:tcPr>
            <w:tcW w:w="4293" w:type="dxa"/>
            <w:gridSpan w:val="7"/>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85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自然人</w:t>
            </w:r>
          </w:p>
        </w:tc>
        <w:tc>
          <w:tcPr>
            <w:tcW w:w="2808"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法人或其他组织</w:t>
            </w:r>
          </w:p>
        </w:tc>
        <w:tc>
          <w:tcPr>
            <w:tcW w:w="635"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85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6" w:right="-107"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商业企业</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7" w:right="-107"/>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科研机构</w:t>
            </w:r>
          </w:p>
        </w:tc>
        <w:tc>
          <w:tcPr>
            <w:tcW w:w="5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7" w:right="-107"/>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社会公益组织</w:t>
            </w:r>
          </w:p>
        </w:tc>
        <w:tc>
          <w:tcPr>
            <w:tcW w:w="5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6" w:right="-107"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法律服务机构</w:t>
            </w:r>
          </w:p>
        </w:tc>
        <w:tc>
          <w:tcPr>
            <w:tcW w:w="54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63" w:right="-134"/>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tc>
        <w:tc>
          <w:tcPr>
            <w:tcW w:w="635"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一、本年新收政府信息公开申请数量</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二、上年结转政府信息公开申请数量</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三、本年度办理结果</w:t>
            </w: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ascii="楷体" w:hAnsi="楷体" w:eastAsia="楷体" w:cs="楷体"/>
                <w:kern w:val="0"/>
                <w:sz w:val="20"/>
                <w:szCs w:val="20"/>
                <w:lang w:val="en-US" w:eastAsia="zh-CN" w:bidi="ar"/>
              </w:rPr>
              <w:t>（一）予以公开</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（二）部分公开（区分处理的，只计这一情形，不计其他情形）</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107"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（三）不予公开</w:t>
            </w: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1.属于国家秘密</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2.其他法律行政法规禁止公开</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3.危及“三安全一稳定”</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4.保护第三方合法权益</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5.属于三类内部事务信息</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6.属于四类过程性信息</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7.属于行政执法案卷</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8.属于行政查询事项</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107"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（四）无法提供</w:t>
            </w: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1.本机关不掌握相关政府信息</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2.没有现成信息需要另行制作</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3.补正后申请内容仍不明确</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107"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（五）不予处理</w:t>
            </w: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1.信访举报投诉类申请</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2.重复申请</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3.要求提供公开出版物</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4.无正当理由大量反复申请</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5.要求行政机关确认或重新</w:t>
            </w:r>
          </w:p>
          <w:p>
            <w:pPr>
              <w:keepNext w:val="0"/>
              <w:keepLines w:val="0"/>
              <w:widowControl/>
              <w:suppressLineNumbers w:val="0"/>
              <w:spacing w:before="0" w:beforeAutospacing="0" w:after="0" w:afterAutospacing="0" w:line="300" w:lineRule="atLeast"/>
              <w:ind w:left="0" w:right="0" w:firstLine="20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出具已获取信息</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（六）其他处理</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97"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（七）总计</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四、结转下年度继续办理</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bl>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333333"/>
          <w:spacing w:val="0"/>
          <w:sz w:val="24"/>
          <w:szCs w:val="24"/>
        </w:rPr>
        <w:t> </w:t>
      </w:r>
    </w:p>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333333"/>
          <w:spacing w:val="0"/>
          <w:sz w:val="32"/>
          <w:szCs w:val="32"/>
        </w:rPr>
        <w:t>四、政府信息公开行政复议、行政诉讼情况</w:t>
      </w:r>
    </w:p>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333333"/>
          <w:spacing w:val="0"/>
          <w:sz w:val="24"/>
          <w:szCs w:val="24"/>
        </w:rPr>
        <w:t> </w:t>
      </w:r>
    </w:p>
    <w:tbl>
      <w:tblP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49" w:right="-17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p>
            <w:pPr>
              <w:keepNext w:val="0"/>
              <w:keepLines w:val="0"/>
              <w:widowControl/>
              <w:suppressLineNumbers w:val="0"/>
              <w:spacing w:before="0" w:beforeAutospacing="0" w:after="0" w:afterAutospacing="0" w:line="15" w:lineRule="atLeast"/>
              <w:ind w:left="-149" w:right="-17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维持</w:t>
            </w:r>
          </w:p>
        </w:tc>
        <w:tc>
          <w:tcPr>
            <w:tcW w:w="604"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43" w:right="-132"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82" w:right="-97"/>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18" w:right="-11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w:t>
            </w:r>
          </w:p>
          <w:p>
            <w:pPr>
              <w:keepNext w:val="0"/>
              <w:keepLines w:val="0"/>
              <w:widowControl/>
              <w:suppressLineNumbers w:val="0"/>
              <w:spacing w:before="0" w:beforeAutospacing="0" w:after="0" w:afterAutospacing="0" w:line="15" w:lineRule="atLeast"/>
              <w:ind w:left="-118" w:right="-11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审结</w:t>
            </w:r>
          </w:p>
        </w:tc>
        <w:tc>
          <w:tcPr>
            <w:tcW w:w="658"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w:t>
            </w:r>
          </w:p>
          <w:p>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计</w:t>
            </w:r>
          </w:p>
        </w:tc>
        <w:tc>
          <w:tcPr>
            <w:tcW w:w="2970"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658"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05" w:right="-126"/>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86" w:right="-8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26" w:right="-136"/>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p>
            <w:pPr>
              <w:keepNext w:val="0"/>
              <w:keepLines w:val="0"/>
              <w:widowControl/>
              <w:suppressLineNumbers w:val="0"/>
              <w:spacing w:before="0" w:beforeAutospacing="0" w:after="0" w:afterAutospacing="0" w:line="15" w:lineRule="atLeast"/>
              <w:ind w:left="-126" w:right="-136"/>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64" w:right="-153"/>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w:t>
            </w:r>
          </w:p>
          <w:p>
            <w:pPr>
              <w:keepNext w:val="0"/>
              <w:keepLines w:val="0"/>
              <w:widowControl/>
              <w:suppressLineNumbers w:val="0"/>
              <w:spacing w:before="0" w:beforeAutospacing="0" w:after="0" w:afterAutospacing="0" w:line="15" w:lineRule="atLeast"/>
              <w:ind w:left="-164" w:right="-153"/>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审结</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99" w:right="-7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36" w:right="-124"/>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p>
            <w:pPr>
              <w:keepNext w:val="0"/>
              <w:keepLines w:val="0"/>
              <w:widowControl/>
              <w:suppressLineNumbers w:val="0"/>
              <w:spacing w:before="0" w:beforeAutospacing="0" w:after="0" w:afterAutospacing="0" w:line="15" w:lineRule="atLeast"/>
              <w:ind w:left="-136" w:right="-124"/>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纠正</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73" w:right="-134"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p>
            <w:pPr>
              <w:keepNext w:val="0"/>
              <w:keepLines w:val="0"/>
              <w:widowControl/>
              <w:suppressLineNumbers w:val="0"/>
              <w:spacing w:before="0" w:beforeAutospacing="0" w:after="0" w:afterAutospacing="0" w:line="15" w:lineRule="atLeast"/>
              <w:ind w:left="-173" w:right="-134"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67" w:right="-105" w:hanging="2"/>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bl>
    <w:p>
      <w:pPr>
        <w:keepNext w:val="0"/>
        <w:keepLines w:val="0"/>
        <w:widowControl/>
        <w:suppressLineNumbers w:val="0"/>
        <w:spacing w:before="0" w:beforeAutospacing="0" w:after="0" w:afterAutospacing="0" w:line="15"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333333"/>
          <w:spacing w:val="0"/>
          <w:kern w:val="0"/>
          <w:sz w:val="24"/>
          <w:szCs w:val="24"/>
          <w:lang w:val="en-US" w:eastAsia="zh-CN" w:bidi="ar"/>
        </w:rPr>
        <w:t> </w:t>
      </w:r>
    </w:p>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333333"/>
          <w:spacing w:val="0"/>
          <w:sz w:val="32"/>
          <w:szCs w:val="32"/>
        </w:rPr>
        <w:t>五、存在的主要问题及改进情况</w:t>
      </w:r>
    </w:p>
    <w:p>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存在的主要问题：</w:t>
      </w:r>
    </w:p>
    <w:p>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　　一是政务公开依托于网站的力度不够。运用网站公布的政务信息比重不够大，运用新闻媒体公布的政务信息更是微乎其微。致使群众和企业获得政务信息的渠道不够通畅，有些已公开的事项不能收到预期的效果。</w:t>
      </w:r>
    </w:p>
    <w:p>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　　二是信息公开存在着内容简单的现象。目前存在信息公开的形式普遍比较单一，更新速度较慢。</w:t>
      </w:r>
    </w:p>
    <w:p>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改进情况：</w:t>
      </w:r>
    </w:p>
    <w:p>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32"/>
          <w:szCs w:val="32"/>
          <w:lang w:val="en-US" w:eastAsia="zh-CN" w:bidi="ar"/>
        </w:rPr>
        <w:t>　　完善信息公开管理机制，加强调研，到基层群众中了解群众最想知道的信息，建立与群众的经常沟通机制。　</w:t>
      </w:r>
    </w:p>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333333"/>
          <w:spacing w:val="0"/>
          <w:sz w:val="32"/>
          <w:szCs w:val="32"/>
        </w:rPr>
        <w:t>六、其他需要报告的事项</w:t>
      </w:r>
    </w:p>
    <w:p>
      <w:pPr>
        <w:pStyle w:val="2"/>
        <w:keepNext w:val="0"/>
        <w:keepLines w:val="0"/>
        <w:widowControl/>
        <w:suppressLineNumbers w:val="0"/>
        <w:spacing w:before="0" w:beforeAutospacing="0" w:after="0" w:afterAutospacing="0" w:line="390" w:lineRule="atLeast"/>
        <w:ind w:left="0" w:right="0" w:firstLine="0"/>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rPr>
        <w:t>　　无</w:t>
      </w:r>
    </w:p>
    <w:p>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caps w:val="0"/>
          <w:color w:val="000000"/>
          <w:spacing w:val="0"/>
          <w:sz w:val="24"/>
          <w:szCs w:val="24"/>
        </w:rPr>
      </w:pPr>
      <w:r>
        <w:rPr>
          <w:rFonts w:hint="default" w:ascii="Calibri" w:hAnsi="Calibri" w:eastAsia="宋体" w:cs="Calibri"/>
          <w:i w:val="0"/>
          <w:caps w:val="0"/>
          <w:color w:val="000000"/>
          <w:spacing w:val="0"/>
          <w:kern w:val="0"/>
          <w:sz w:val="21"/>
          <w:szCs w:val="21"/>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E26A3"/>
    <w:rsid w:val="2B7E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2020-06-28T02:48:00Z</dcterms:created>
  <dc:creator>tt</dc:creator>
  <cp:lastModifiedBy>tt</cp:lastModifiedBy>
  <dcterms:modified xsi:type="dcterms:W3CDTF">2020-06-28T02:49:11Z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