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678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b w:val="0"/>
          <w:bCs w:val="0"/>
          <w:color w:val="000000"/>
          <w:sz w:val="44"/>
          <w:szCs w:val="44"/>
        </w:rPr>
      </w:pPr>
    </w:p>
    <w:p w14:paraId="1DD76F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b w:val="0"/>
          <w:bCs w:val="0"/>
          <w:color w:val="000000"/>
          <w:sz w:val="44"/>
          <w:szCs w:val="44"/>
        </w:rPr>
      </w:pPr>
      <w:r>
        <w:rPr>
          <w:rFonts w:hint="eastAsia" w:ascii="文星标宋" w:hAnsi="文星标宋" w:eastAsia="文星标宋" w:cs="文星标宋"/>
          <w:b w:val="0"/>
          <w:bCs w:val="0"/>
          <w:color w:val="000000"/>
          <w:sz w:val="44"/>
          <w:szCs w:val="44"/>
        </w:rPr>
        <w:t>昌乐县营丘镇人民政府</w:t>
      </w:r>
    </w:p>
    <w:p w14:paraId="071A6D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b w:val="0"/>
          <w:bCs w:val="0"/>
          <w:color w:val="000000"/>
          <w:sz w:val="44"/>
          <w:szCs w:val="44"/>
        </w:rPr>
      </w:pPr>
      <w:r>
        <w:rPr>
          <w:rFonts w:hint="eastAsia" w:ascii="文星标宋" w:hAnsi="文星标宋" w:eastAsia="文星标宋" w:cs="文星标宋"/>
          <w:b w:val="0"/>
          <w:bCs w:val="0"/>
          <w:color w:val="000000"/>
          <w:sz w:val="44"/>
          <w:szCs w:val="44"/>
          <w:lang w:eastAsia="zh-CN"/>
        </w:rPr>
        <w:t>2025</w:t>
      </w:r>
      <w:r>
        <w:rPr>
          <w:rFonts w:hint="eastAsia" w:ascii="文星标宋" w:hAnsi="文星标宋" w:eastAsia="文星标宋" w:cs="文星标宋"/>
          <w:b w:val="0"/>
          <w:bCs w:val="0"/>
          <w:color w:val="000000"/>
          <w:sz w:val="44"/>
          <w:szCs w:val="44"/>
        </w:rPr>
        <w:t>年政府信息公开工作年度报告</w:t>
      </w:r>
    </w:p>
    <w:p w14:paraId="37D0F3C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b w:val="0"/>
          <w:bCs w:val="0"/>
          <w:sz w:val="32"/>
          <w:szCs w:val="32"/>
        </w:rPr>
      </w:pPr>
    </w:p>
    <w:p w14:paraId="506994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微软雅黑" w:eastAsia="仿宋_GB2312" w:cs="仿宋_GB2312"/>
          <w:b w:val="0"/>
          <w:bCs w:val="0"/>
          <w:i w:val="0"/>
          <w:iCs w:val="0"/>
          <w:caps w:val="0"/>
          <w:color w:val="000000"/>
          <w:spacing w:val="0"/>
          <w:sz w:val="32"/>
          <w:szCs w:val="32"/>
          <w:shd w:val="clear" w:fill="FFFFFF"/>
        </w:rPr>
      </w:pPr>
      <w:r>
        <w:rPr>
          <w:rFonts w:hint="eastAsia" w:ascii="仿宋_GB2312" w:hAnsi="微软雅黑" w:eastAsia="仿宋_GB2312" w:cs="仿宋_GB2312"/>
          <w:b w:val="0"/>
          <w:bCs w:val="0"/>
          <w:i w:val="0"/>
          <w:iCs w:val="0"/>
          <w:caps w:val="0"/>
          <w:color w:val="000000"/>
          <w:spacing w:val="0"/>
          <w:sz w:val="32"/>
          <w:szCs w:val="32"/>
          <w:shd w:val="clear" w:fill="FFFFFF"/>
        </w:rPr>
        <w:t>2025年，营丘镇严格贯彻落实《中华人民共和国政府信息公开条例》及省、市、县关于政府信息公开工作的各项部署要求，将政府信息公开工作纳入建设服务型、透明型、阳光型政府的重要抓手，积极拓宽信息公开渠道、丰富公开形式，主动向社会公众公开政府信息，推动政府信息公开工作持续深化、质效稳步提升。本报告涵盖总体情况、主动公开政府信息情况、收到和处理政府信息公开申请情况、政府信息公开行政复议和行政诉讼情况、存在的主要问题及改进措施、其他需要报告的事项六个部分。本报告相关数据统计周期为2025年1月1日至12月31日。如对本报告有疑问，请联系</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营丘镇</w:t>
      </w:r>
      <w:r>
        <w:rPr>
          <w:rFonts w:hint="eastAsia" w:ascii="仿宋_GB2312" w:hAnsi="微软雅黑" w:eastAsia="仿宋_GB2312" w:cs="仿宋_GB2312"/>
          <w:b w:val="0"/>
          <w:bCs w:val="0"/>
          <w:i w:val="0"/>
          <w:iCs w:val="0"/>
          <w:caps w:val="0"/>
          <w:color w:val="000000"/>
          <w:spacing w:val="0"/>
          <w:sz w:val="32"/>
          <w:szCs w:val="32"/>
          <w:shd w:val="clear" w:fill="FFFFFF"/>
        </w:rPr>
        <w:t>人民政府办公室，联系电话：0536-6</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921</w:t>
      </w:r>
      <w:r>
        <w:rPr>
          <w:rFonts w:hint="eastAsia" w:ascii="仿宋_GB2312" w:hAnsi="微软雅黑" w:eastAsia="仿宋_GB2312" w:cs="仿宋_GB2312"/>
          <w:b w:val="0"/>
          <w:bCs w:val="0"/>
          <w:i w:val="0"/>
          <w:iCs w:val="0"/>
          <w:caps w:val="0"/>
          <w:color w:val="000000"/>
          <w:spacing w:val="0"/>
          <w:sz w:val="32"/>
          <w:szCs w:val="32"/>
          <w:shd w:val="clear" w:fill="FFFFFF"/>
        </w:rPr>
        <w:t>106。</w:t>
      </w:r>
    </w:p>
    <w:p w14:paraId="15334540">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color w:val="333333"/>
          <w:sz w:val="32"/>
          <w:szCs w:val="32"/>
          <w:shd w:val="clear" w:color="auto" w:fill="FFFFFF"/>
          <w:lang w:bidi="ar-SA"/>
        </w:rPr>
      </w:pPr>
      <w:r>
        <w:rPr>
          <w:rFonts w:hint="eastAsia" w:ascii="黑体" w:hAnsi="黑体" w:eastAsia="黑体" w:cs="黑体"/>
          <w:b w:val="0"/>
          <w:bCs w:val="0"/>
          <w:color w:val="333333"/>
          <w:sz w:val="32"/>
          <w:szCs w:val="32"/>
          <w:shd w:val="clear" w:color="auto" w:fill="FFFFFF"/>
          <w:lang w:bidi="ar-SA"/>
        </w:rPr>
        <w:t>一、总体情况</w:t>
      </w:r>
    </w:p>
    <w:p w14:paraId="683BB3E2">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_GB2312" w:hAnsi="楷体_GB2312" w:eastAsia="楷体_GB2312" w:cs="楷体_GB2312"/>
          <w:b w:val="0"/>
          <w:bCs w:val="0"/>
          <w:color w:val="000000"/>
          <w:kern w:val="2"/>
          <w:sz w:val="32"/>
          <w:szCs w:val="32"/>
          <w:shd w:val="clear" w:color="auto" w:fill="FFFFFF"/>
        </w:rPr>
      </w:pPr>
      <w:r>
        <w:rPr>
          <w:rFonts w:hint="eastAsia" w:ascii="楷体_GB2312" w:hAnsi="楷体_GB2312" w:eastAsia="楷体_GB2312" w:cs="楷体_GB2312"/>
          <w:b w:val="0"/>
          <w:bCs w:val="0"/>
          <w:color w:val="000000"/>
          <w:kern w:val="2"/>
          <w:sz w:val="32"/>
          <w:szCs w:val="32"/>
          <w:shd w:val="clear" w:color="auto" w:fill="FFFFFF"/>
          <w:lang w:val="en-US" w:eastAsia="zh-CN"/>
        </w:rPr>
        <w:t>（一）</w:t>
      </w:r>
      <w:r>
        <w:rPr>
          <w:rFonts w:hint="eastAsia" w:ascii="楷体_GB2312" w:hAnsi="楷体_GB2312" w:eastAsia="楷体_GB2312" w:cs="楷体_GB2312"/>
          <w:b w:val="0"/>
          <w:bCs w:val="0"/>
          <w:color w:val="000000"/>
          <w:kern w:val="2"/>
          <w:sz w:val="32"/>
          <w:szCs w:val="32"/>
          <w:shd w:val="clear" w:color="auto" w:fill="FFFFFF"/>
        </w:rPr>
        <w:t>主动公开情况</w:t>
      </w:r>
    </w:p>
    <w:p w14:paraId="190AE2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val="0"/>
          <w:bCs w:val="0"/>
          <w:color w:val="000000"/>
          <w:kern w:val="2"/>
          <w:sz w:val="32"/>
          <w:szCs w:val="32"/>
          <w:shd w:val="clear" w:color="auto" w:fill="FFFFFF"/>
        </w:rPr>
      </w:pPr>
      <w:r>
        <w:rPr>
          <w:rFonts w:hint="eastAsia" w:ascii="仿宋_GB2312" w:hAnsi="仿宋_GB2312" w:eastAsia="仿宋_GB2312" w:cs="仿宋_GB2312"/>
          <w:b w:val="0"/>
          <w:bCs w:val="0"/>
          <w:sz w:val="32"/>
          <w:szCs w:val="32"/>
          <w:shd w:val="clear" w:color="auto" w:fill="FFFFFF"/>
        </w:rPr>
        <w:t>截</w:t>
      </w:r>
      <w:r>
        <w:rPr>
          <w:rFonts w:hint="eastAsia" w:ascii="仿宋_GB2312" w:hAnsi="仿宋_GB2312" w:eastAsia="仿宋_GB2312" w:cs="仿宋_GB2312"/>
          <w:b w:val="0"/>
          <w:bCs w:val="0"/>
          <w:sz w:val="32"/>
          <w:szCs w:val="32"/>
          <w:shd w:val="clear" w:color="auto" w:fill="FFFFFF"/>
          <w:lang w:val="en-US" w:eastAsia="zh-CN"/>
        </w:rPr>
        <w:t>至</w:t>
      </w:r>
      <w:r>
        <w:rPr>
          <w:rFonts w:hint="eastAsia" w:ascii="仿宋_GB2312" w:hAnsi="仿宋_GB2312" w:eastAsia="仿宋_GB2312" w:cs="仿宋_GB2312"/>
          <w:b w:val="0"/>
          <w:bCs w:val="0"/>
          <w:sz w:val="32"/>
          <w:szCs w:val="32"/>
          <w:shd w:val="clear" w:color="auto" w:fill="FFFFFF"/>
          <w:lang w:eastAsia="zh-CN"/>
        </w:rPr>
        <w:t>2025</w:t>
      </w:r>
      <w:r>
        <w:rPr>
          <w:rFonts w:hint="eastAsia" w:ascii="仿宋_GB2312" w:hAnsi="仿宋_GB2312" w:eastAsia="仿宋_GB2312" w:cs="仿宋_GB2312"/>
          <w:b w:val="0"/>
          <w:bCs w:val="0"/>
          <w:sz w:val="32"/>
          <w:szCs w:val="32"/>
          <w:shd w:val="clear" w:color="auto" w:fill="FFFFFF"/>
        </w:rPr>
        <w:t>年12月31日，我镇主动公开政府信</w:t>
      </w:r>
      <w:r>
        <w:rPr>
          <w:rFonts w:hint="eastAsia" w:ascii="仿宋_GB2312" w:hAnsi="仿宋_GB2312" w:eastAsia="仿宋_GB2312" w:cs="仿宋_GB2312"/>
          <w:b w:val="0"/>
          <w:bCs w:val="0"/>
          <w:sz w:val="32"/>
          <w:szCs w:val="32"/>
          <w:lang w:val="en-US" w:eastAsia="zh-CN"/>
        </w:rPr>
        <w:t>息415条，其中，通过政府信息公开专栏主动公开政府信息52条</w:t>
      </w:r>
      <w:r>
        <w:rPr>
          <w:rFonts w:hint="eastAsia" w:ascii="仿宋_GB2312" w:hAnsi="仿宋_GB2312" w:eastAsia="仿宋_GB2312" w:cs="仿宋_GB2312"/>
          <w:b w:val="0"/>
          <w:bCs w:val="0"/>
          <w:sz w:val="32"/>
          <w:szCs w:val="32"/>
        </w:rPr>
        <w:t>，通过微信公众号主动公开政府信息</w:t>
      </w:r>
      <w:r>
        <w:rPr>
          <w:rFonts w:hint="eastAsia" w:ascii="仿宋_GB2312" w:hAnsi="仿宋_GB2312" w:eastAsia="仿宋_GB2312" w:cs="仿宋_GB2312"/>
          <w:b w:val="0"/>
          <w:bCs w:val="0"/>
          <w:sz w:val="32"/>
          <w:szCs w:val="32"/>
          <w:lang w:val="en-US" w:eastAsia="zh-CN"/>
        </w:rPr>
        <w:t>363</w:t>
      </w:r>
      <w:r>
        <w:rPr>
          <w:rFonts w:hint="eastAsia" w:ascii="仿宋_GB2312" w:hAnsi="仿宋_GB2312" w:eastAsia="仿宋_GB2312" w:cs="仿宋_GB2312"/>
          <w:b w:val="0"/>
          <w:bCs w:val="0"/>
          <w:sz w:val="32"/>
          <w:szCs w:val="32"/>
        </w:rPr>
        <w:t>条。</w:t>
      </w:r>
    </w:p>
    <w:p w14:paraId="119CB902">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ascii="楷体_GB2312" w:hAnsi="楷体_GB2312" w:eastAsia="楷体_GB2312" w:cs="楷体_GB2312"/>
          <w:b w:val="0"/>
          <w:bCs w:val="0"/>
          <w:color w:val="000000"/>
          <w:kern w:val="2"/>
          <w:sz w:val="32"/>
          <w:szCs w:val="32"/>
          <w:shd w:val="clear" w:color="auto" w:fill="FFFFFF"/>
        </w:rPr>
      </w:pPr>
      <w:r>
        <w:rPr>
          <w:rFonts w:hint="eastAsia" w:ascii="楷体_GB2312" w:hAnsi="楷体_GB2312" w:eastAsia="楷体_GB2312" w:cs="楷体_GB2312"/>
          <w:b w:val="0"/>
          <w:bCs w:val="0"/>
          <w:color w:val="000000"/>
          <w:kern w:val="2"/>
          <w:sz w:val="32"/>
          <w:szCs w:val="32"/>
          <w:shd w:val="clear" w:color="auto" w:fill="FFFFFF"/>
        </w:rPr>
        <w:t>（二）依申请公开情况</w:t>
      </w:r>
    </w:p>
    <w:p w14:paraId="62D2B41D">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020202"/>
          <w:sz w:val="32"/>
          <w:szCs w:val="32"/>
        </w:rPr>
      </w:pPr>
      <w:r>
        <w:rPr>
          <w:rFonts w:hint="eastAsia" w:ascii="仿宋_GB2312" w:hAnsi="宋体" w:eastAsia="仿宋_GB2312" w:cs="仿宋_GB2312"/>
          <w:b w:val="0"/>
          <w:bCs w:val="0"/>
          <w:i w:val="0"/>
          <w:iCs w:val="0"/>
          <w:caps w:val="0"/>
          <w:color w:val="020202"/>
          <w:spacing w:val="0"/>
          <w:sz w:val="32"/>
          <w:szCs w:val="32"/>
          <w:shd w:val="clear" w:fill="FFFFFF"/>
          <w:lang w:eastAsia="zh-CN"/>
        </w:rPr>
        <w:t>2025</w:t>
      </w:r>
      <w:r>
        <w:rPr>
          <w:rFonts w:ascii="仿宋_GB2312" w:hAnsi="宋体" w:eastAsia="仿宋_GB2312" w:cs="仿宋_GB2312"/>
          <w:b w:val="0"/>
          <w:bCs w:val="0"/>
          <w:i w:val="0"/>
          <w:iCs w:val="0"/>
          <w:caps w:val="0"/>
          <w:color w:val="020202"/>
          <w:spacing w:val="0"/>
          <w:sz w:val="32"/>
          <w:szCs w:val="32"/>
          <w:shd w:val="clear" w:fill="FFFFFF"/>
        </w:rPr>
        <w:t>度我</w:t>
      </w:r>
      <w:r>
        <w:rPr>
          <w:rFonts w:hint="eastAsia" w:ascii="仿宋_GB2312" w:hAnsi="宋体" w:eastAsia="仿宋_GB2312" w:cs="仿宋_GB2312"/>
          <w:b w:val="0"/>
          <w:bCs w:val="0"/>
          <w:i w:val="0"/>
          <w:iCs w:val="0"/>
          <w:caps w:val="0"/>
          <w:color w:val="020202"/>
          <w:spacing w:val="0"/>
          <w:sz w:val="32"/>
          <w:szCs w:val="32"/>
          <w:shd w:val="clear" w:fill="FFFFFF"/>
        </w:rPr>
        <w:t>镇收到关于依申请公开政府信息的申请</w:t>
      </w:r>
      <w:r>
        <w:rPr>
          <w:rFonts w:hint="eastAsia" w:ascii="仿宋_GB2312" w:hAnsi="宋体" w:eastAsia="仿宋_GB2312" w:cs="仿宋_GB2312"/>
          <w:b w:val="0"/>
          <w:bCs w:val="0"/>
          <w:i w:val="0"/>
          <w:iCs w:val="0"/>
          <w:caps w:val="0"/>
          <w:color w:val="020202"/>
          <w:spacing w:val="0"/>
          <w:sz w:val="32"/>
          <w:szCs w:val="32"/>
          <w:shd w:val="clear" w:fill="FFFFFF"/>
          <w:lang w:val="en-US" w:eastAsia="zh-CN"/>
        </w:rPr>
        <w:t>2</w:t>
      </w:r>
      <w:r>
        <w:rPr>
          <w:rFonts w:hint="eastAsia" w:ascii="仿宋_GB2312" w:hAnsi="宋体" w:eastAsia="仿宋_GB2312" w:cs="仿宋_GB2312"/>
          <w:b w:val="0"/>
          <w:bCs w:val="0"/>
          <w:i w:val="0"/>
          <w:iCs w:val="0"/>
          <w:caps w:val="0"/>
          <w:color w:val="020202"/>
          <w:spacing w:val="0"/>
          <w:sz w:val="32"/>
          <w:szCs w:val="32"/>
          <w:shd w:val="clear" w:fill="FFFFFF"/>
        </w:rPr>
        <w:t>条，已按程序回复到位。</w:t>
      </w:r>
    </w:p>
    <w:p w14:paraId="2CF8EA85">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ascii="楷体_GB2312" w:hAnsi="楷体_GB2312" w:eastAsia="楷体_GB2312" w:cs="楷体_GB2312"/>
          <w:b w:val="0"/>
          <w:bCs w:val="0"/>
          <w:color w:val="000000"/>
          <w:kern w:val="2"/>
          <w:sz w:val="32"/>
          <w:szCs w:val="32"/>
          <w:shd w:val="clear" w:color="auto" w:fill="FFFFFF"/>
        </w:rPr>
      </w:pPr>
      <w:r>
        <w:rPr>
          <w:rFonts w:hint="eastAsia" w:ascii="楷体_GB2312" w:hAnsi="楷体_GB2312" w:eastAsia="楷体_GB2312" w:cs="楷体_GB2312"/>
          <w:b w:val="0"/>
          <w:bCs w:val="0"/>
          <w:color w:val="000000"/>
          <w:kern w:val="2"/>
          <w:sz w:val="32"/>
          <w:szCs w:val="32"/>
          <w:shd w:val="clear" w:color="auto" w:fill="FFFFFF"/>
        </w:rPr>
        <w:t>（三）政府信息管理情况</w:t>
      </w:r>
    </w:p>
    <w:p w14:paraId="253B3F3D">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020202"/>
          <w:sz w:val="32"/>
          <w:szCs w:val="32"/>
        </w:rPr>
      </w:pPr>
      <w:r>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t>营丘镇指定专人负责政府网站的日常运维与动态更新，统筹开展公开信息的审核把关、分类归档及规范管理工作。同时，严格执行政府信息公开保密审查制度，严把信息发布前置审核关口，确保发布信息的规范性、时效性、完整性和准确性，坚决守住“公开信息不涉密、涉密信息不公开”的工作底线。</w:t>
      </w:r>
    </w:p>
    <w:p w14:paraId="429AF4FC">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ascii="楷体_GB2312" w:hAnsi="楷体_GB2312" w:eastAsia="楷体_GB2312" w:cs="楷体_GB2312"/>
          <w:b w:val="0"/>
          <w:bCs w:val="0"/>
          <w:color w:val="000000"/>
          <w:kern w:val="2"/>
          <w:sz w:val="32"/>
          <w:szCs w:val="32"/>
          <w:shd w:val="clear" w:color="auto" w:fill="FFFFFF"/>
        </w:rPr>
      </w:pPr>
      <w:r>
        <w:rPr>
          <w:rFonts w:hint="eastAsia" w:ascii="楷体_GB2312" w:hAnsi="楷体_GB2312" w:eastAsia="楷体_GB2312" w:cs="楷体_GB2312"/>
          <w:b w:val="0"/>
          <w:bCs w:val="0"/>
          <w:color w:val="000000"/>
          <w:kern w:val="2"/>
          <w:sz w:val="32"/>
          <w:szCs w:val="32"/>
          <w:shd w:val="clear" w:color="auto" w:fill="FFFFFF"/>
        </w:rPr>
        <w:t>（四）政府信息</w:t>
      </w:r>
      <w:r>
        <w:rPr>
          <w:rFonts w:hint="eastAsia" w:ascii="楷体_GB2312" w:hAnsi="楷体_GB2312" w:eastAsia="楷体_GB2312" w:cs="楷体_GB2312"/>
          <w:b w:val="0"/>
          <w:bCs w:val="0"/>
          <w:color w:val="000000"/>
          <w:kern w:val="2"/>
          <w:sz w:val="32"/>
          <w:szCs w:val="32"/>
          <w:shd w:val="clear" w:color="auto" w:fill="FFFFFF"/>
          <w:lang w:val="en-US" w:eastAsia="zh-CN"/>
        </w:rPr>
        <w:t>公开</w:t>
      </w:r>
      <w:r>
        <w:rPr>
          <w:rFonts w:hint="eastAsia" w:ascii="楷体_GB2312" w:hAnsi="楷体_GB2312" w:eastAsia="楷体_GB2312" w:cs="楷体_GB2312"/>
          <w:b w:val="0"/>
          <w:bCs w:val="0"/>
          <w:color w:val="000000"/>
          <w:kern w:val="2"/>
          <w:sz w:val="32"/>
          <w:szCs w:val="32"/>
          <w:shd w:val="clear" w:color="auto" w:fill="FFFFFF"/>
        </w:rPr>
        <w:t>平台建设情况</w:t>
      </w:r>
    </w:p>
    <w:p w14:paraId="4F945194">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pPr>
      <w:r>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t>营丘镇持续强化政府信息公开专栏建设，进一步规范信息公开全流程管理，严格执行信息公开审核审批程序，保障公开内容的全面性、准确性、时效性。严格对标政务新媒体规范化运行管理要求，常态化开展《昌乐营丘宣传》微信公众号的内容更新与审核把关工作。同时，做好信息收集、梳理与更新工作，切实保障平台信息发布的时效性；严格按照上级部署要求推进平台标准化建设，确保各项工作规范有序、合规达标。</w:t>
      </w:r>
    </w:p>
    <w:p w14:paraId="088D1E02">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ascii="楷体_GB2312" w:hAnsi="楷体_GB2312" w:eastAsia="楷体_GB2312" w:cs="楷体_GB2312"/>
          <w:b w:val="0"/>
          <w:bCs w:val="0"/>
          <w:color w:val="000000"/>
          <w:kern w:val="2"/>
          <w:sz w:val="32"/>
          <w:szCs w:val="32"/>
          <w:shd w:val="clear" w:color="auto" w:fill="FFFFFF"/>
        </w:rPr>
      </w:pPr>
      <w:r>
        <w:rPr>
          <w:rFonts w:hint="eastAsia" w:ascii="楷体_GB2312" w:hAnsi="楷体_GB2312" w:eastAsia="楷体_GB2312" w:cs="楷体_GB2312"/>
          <w:b w:val="0"/>
          <w:bCs w:val="0"/>
          <w:color w:val="000000"/>
          <w:kern w:val="2"/>
          <w:sz w:val="32"/>
          <w:szCs w:val="32"/>
          <w:shd w:val="clear" w:color="auto" w:fill="FFFFFF"/>
        </w:rPr>
        <w:t>（</w:t>
      </w:r>
      <w:r>
        <w:rPr>
          <w:rFonts w:hint="eastAsia" w:ascii="楷体_GB2312" w:hAnsi="楷体_GB2312" w:eastAsia="楷体_GB2312" w:cs="楷体_GB2312"/>
          <w:b w:val="0"/>
          <w:bCs w:val="0"/>
          <w:color w:val="000000"/>
          <w:kern w:val="2"/>
          <w:sz w:val="32"/>
          <w:szCs w:val="32"/>
          <w:shd w:val="clear" w:color="auto" w:fill="FFFFFF"/>
          <w:lang w:val="en-US" w:eastAsia="zh-CN"/>
        </w:rPr>
        <w:t>五</w:t>
      </w:r>
      <w:r>
        <w:rPr>
          <w:rFonts w:hint="eastAsia" w:ascii="楷体_GB2312" w:hAnsi="楷体_GB2312" w:eastAsia="楷体_GB2312" w:cs="楷体_GB2312"/>
          <w:b w:val="0"/>
          <w:bCs w:val="0"/>
          <w:color w:val="000000"/>
          <w:kern w:val="2"/>
          <w:sz w:val="32"/>
          <w:szCs w:val="32"/>
          <w:shd w:val="clear" w:color="auto" w:fill="FFFFFF"/>
        </w:rPr>
        <w:t>）监督保障情况</w:t>
      </w:r>
    </w:p>
    <w:p w14:paraId="31927ED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pPr>
      <w:r>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t>一、强化政府信息公开工作组织领导，</w:t>
      </w:r>
      <w:r>
        <w:rPr>
          <w:rFonts w:hint="eastAsia" w:ascii="仿宋_GB2312" w:hAnsi="微软雅黑" w:eastAsia="仿宋_GB2312" w:cs="仿宋_GB2312"/>
          <w:b w:val="0"/>
          <w:bCs w:val="0"/>
          <w:i w:val="0"/>
          <w:iCs w:val="0"/>
          <w:caps w:val="0"/>
          <w:color w:val="000000"/>
          <w:spacing w:val="0"/>
          <w:kern w:val="2"/>
          <w:sz w:val="32"/>
          <w:szCs w:val="32"/>
          <w:shd w:val="clear" w:fill="FFFFFF"/>
          <w:lang w:val="en-US" w:eastAsia="zh-CN" w:bidi="ar-SA"/>
        </w:rPr>
        <w:t>明确</w:t>
      </w:r>
      <w:r>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t>职责分工，抓实业务培训。2025年度组织开展全镇政务公开专题业务培训2次，累计培训覆盖30余人次，有效提升工作人员业务素养与履职能力。</w:t>
      </w:r>
    </w:p>
    <w:p w14:paraId="15669BF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pPr>
      <w:r>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t>二、主动参加县政府组织的政府信息公开工作会议及业务培训，深化工作人员对政务公开工作的认知，全面提升履职能力。明确政务公开工作分管领导，配备1名专职人员负责日常公开事务。</w:t>
      </w:r>
    </w:p>
    <w:p w14:paraId="0AC19D3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pPr>
      <w:r>
        <w:rPr>
          <w:rFonts w:ascii="仿宋_GB2312" w:hAnsi="微软雅黑" w:eastAsia="仿宋_GB2312" w:cs="仿宋_GB2312"/>
          <w:b w:val="0"/>
          <w:bCs w:val="0"/>
          <w:i w:val="0"/>
          <w:iCs w:val="0"/>
          <w:caps w:val="0"/>
          <w:color w:val="000000"/>
          <w:spacing w:val="0"/>
          <w:kern w:val="2"/>
          <w:sz w:val="32"/>
          <w:szCs w:val="32"/>
          <w:shd w:val="clear" w:fill="FFFFFF"/>
          <w:lang w:val="en-US" w:eastAsia="zh-CN" w:bidi="ar-SA"/>
        </w:rPr>
        <w:t>三、健全政务公开社会评议机制。通过政府网站公示政务公开工作电子邮箱及投诉举报电话，在政务服务大厅设置投诉举报窗口，主动接受社会公众监督与评议。2025年度未收到相关投诉举报。</w:t>
      </w:r>
    </w:p>
    <w:p w14:paraId="2C62B41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行政机关主动公开政府信息情况。</w:t>
      </w:r>
    </w:p>
    <w:tbl>
      <w:tblPr>
        <w:tblStyle w:val="5"/>
        <w:tblW w:w="5000" w:type="pct"/>
        <w:tblInd w:w="0" w:type="dxa"/>
        <w:tblLayout w:type="autofit"/>
        <w:tblCellMar>
          <w:top w:w="0" w:type="dxa"/>
          <w:left w:w="108" w:type="dxa"/>
          <w:bottom w:w="0" w:type="dxa"/>
          <w:right w:w="108" w:type="dxa"/>
        </w:tblCellMar>
      </w:tblPr>
      <w:tblGrid>
        <w:gridCol w:w="2265"/>
        <w:gridCol w:w="2265"/>
        <w:gridCol w:w="2265"/>
        <w:gridCol w:w="2265"/>
      </w:tblGrid>
      <w:tr w14:paraId="1CB9754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D89041E">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第二十条第（一）项</w:t>
            </w:r>
          </w:p>
        </w:tc>
      </w:tr>
      <w:tr w14:paraId="2C950A6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7B20BF7">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2B0BCB3F">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157AA038">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0A3AD648">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现行有效件数</w:t>
            </w:r>
          </w:p>
        </w:tc>
      </w:tr>
      <w:tr w14:paraId="77CE47E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8A805DF">
            <w:pPr>
              <w:keepNext w:val="0"/>
              <w:keepLines w:val="0"/>
              <w:pageBreakBefore w:val="0"/>
              <w:widowControl/>
              <w:kinsoku/>
              <w:overflowPunct/>
              <w:topLinePunct w:val="0"/>
              <w:autoSpaceDE/>
              <w:autoSpaceDN/>
              <w:bidi w:val="0"/>
              <w:adjustRightInd/>
              <w:snapToGrid/>
              <w:spacing w:line="600"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1CCD174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A4D53C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10ACA326">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Calibri" w:eastAsia="仿宋_GB2312" w:cs="Calibri"/>
                <w:b w:val="0"/>
                <w:bCs w:val="0"/>
                <w:color w:val="000000"/>
                <w:kern w:val="0"/>
                <w:szCs w:val="21"/>
                <w:lang w:val="en-US" w:eastAsia="zh-CN"/>
              </w:rPr>
            </w:pPr>
            <w:r>
              <w:rPr>
                <w:rFonts w:hint="eastAsia" w:ascii="仿宋_GB2312" w:hAnsi="Calibri" w:eastAsia="仿宋_GB2312" w:cs="Calibri"/>
                <w:b w:val="0"/>
                <w:bCs w:val="0"/>
                <w:color w:val="000000"/>
                <w:kern w:val="0"/>
                <w:szCs w:val="21"/>
                <w:lang w:val="en-US" w:eastAsia="zh-CN"/>
              </w:rPr>
              <w:t>0</w:t>
            </w:r>
          </w:p>
        </w:tc>
      </w:tr>
      <w:tr w14:paraId="6F050AC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FA57DFD">
            <w:pPr>
              <w:keepNext w:val="0"/>
              <w:keepLines w:val="0"/>
              <w:pageBreakBefore w:val="0"/>
              <w:widowControl/>
              <w:kinsoku/>
              <w:overflowPunct/>
              <w:topLinePunct w:val="0"/>
              <w:autoSpaceDE/>
              <w:autoSpaceDN/>
              <w:bidi w:val="0"/>
              <w:adjustRightInd/>
              <w:snapToGrid/>
              <w:spacing w:line="600"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1491EAE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C4AE9B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7E18AC45">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Calibri" w:eastAsia="仿宋_GB2312" w:cs="Calibri"/>
                <w:b w:val="0"/>
                <w:bCs w:val="0"/>
                <w:color w:val="000000"/>
                <w:kern w:val="0"/>
                <w:szCs w:val="21"/>
                <w:lang w:val="en-US" w:eastAsia="zh-CN"/>
              </w:rPr>
            </w:pPr>
            <w:r>
              <w:rPr>
                <w:rFonts w:hint="eastAsia" w:ascii="仿宋_GB2312" w:hAnsi="Calibri" w:eastAsia="仿宋_GB2312" w:cs="Calibri"/>
                <w:b w:val="0"/>
                <w:bCs w:val="0"/>
                <w:color w:val="000000"/>
                <w:kern w:val="0"/>
                <w:szCs w:val="21"/>
                <w:lang w:val="en-US" w:eastAsia="zh-CN"/>
              </w:rPr>
              <w:t>0</w:t>
            </w:r>
          </w:p>
        </w:tc>
      </w:tr>
      <w:tr w14:paraId="0CE7972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CF98A65">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第二十条第（五）项</w:t>
            </w:r>
          </w:p>
        </w:tc>
      </w:tr>
      <w:tr w14:paraId="47663B1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24F2893">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0B96A87">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本年处理决定数量</w:t>
            </w:r>
          </w:p>
        </w:tc>
      </w:tr>
      <w:tr w14:paraId="5FB5D7F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24EBC19">
            <w:pPr>
              <w:keepNext w:val="0"/>
              <w:keepLines w:val="0"/>
              <w:pageBreakBefore w:val="0"/>
              <w:widowControl/>
              <w:kinsoku/>
              <w:overflowPunct/>
              <w:topLinePunct w:val="0"/>
              <w:autoSpaceDE/>
              <w:autoSpaceDN/>
              <w:bidi w:val="0"/>
              <w:adjustRightInd/>
              <w:snapToGrid/>
              <w:spacing w:line="600"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DF57E7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Calibri" w:eastAsia="仿宋_GB2312" w:cs="Calibri"/>
                <w:b w:val="0"/>
                <w:bCs w:val="0"/>
                <w:color w:val="000000"/>
                <w:kern w:val="0"/>
                <w:szCs w:val="21"/>
                <w:lang w:val="en-US" w:eastAsia="zh-CN"/>
              </w:rPr>
            </w:pPr>
            <w:r>
              <w:rPr>
                <w:rFonts w:hint="eastAsia" w:ascii="仿宋_GB2312" w:hAnsi="Calibri" w:eastAsia="仿宋_GB2312" w:cs="Calibri"/>
                <w:b w:val="0"/>
                <w:bCs w:val="0"/>
                <w:color w:val="000000"/>
                <w:kern w:val="0"/>
                <w:szCs w:val="21"/>
                <w:lang w:val="en-US" w:eastAsia="zh-CN"/>
              </w:rPr>
              <w:t>0</w:t>
            </w:r>
          </w:p>
        </w:tc>
      </w:tr>
      <w:tr w14:paraId="1E333517">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1329CFA">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第二十条第（六）项</w:t>
            </w:r>
          </w:p>
        </w:tc>
      </w:tr>
      <w:tr w14:paraId="7427EF2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351F4C6">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4454F28">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本年处理决定数量</w:t>
            </w:r>
          </w:p>
        </w:tc>
      </w:tr>
      <w:tr w14:paraId="788288B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1E850C0">
            <w:pPr>
              <w:keepNext w:val="0"/>
              <w:keepLines w:val="0"/>
              <w:pageBreakBefore w:val="0"/>
              <w:widowControl/>
              <w:kinsoku/>
              <w:overflowPunct/>
              <w:topLinePunct w:val="0"/>
              <w:autoSpaceDE/>
              <w:autoSpaceDN/>
              <w:bidi w:val="0"/>
              <w:adjustRightInd/>
              <w:snapToGrid/>
              <w:spacing w:line="600"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1214A3A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r>
      <w:tr w14:paraId="06E7F1A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9FE2870">
            <w:pPr>
              <w:keepNext w:val="0"/>
              <w:keepLines w:val="0"/>
              <w:pageBreakBefore w:val="0"/>
              <w:widowControl/>
              <w:kinsoku/>
              <w:overflowPunct/>
              <w:topLinePunct w:val="0"/>
              <w:autoSpaceDE/>
              <w:autoSpaceDN/>
              <w:bidi w:val="0"/>
              <w:adjustRightInd/>
              <w:snapToGrid/>
              <w:spacing w:line="600"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1AE977D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r>
      <w:tr w14:paraId="0FA1DADE">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0EEAD0A">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第二十条第（八）项</w:t>
            </w:r>
          </w:p>
        </w:tc>
      </w:tr>
      <w:tr w14:paraId="735C867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DF835BE">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9ABFCC6">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本年收费金额（单位：万元）</w:t>
            </w:r>
          </w:p>
        </w:tc>
      </w:tr>
      <w:tr w14:paraId="27A0A69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9A551AE">
            <w:pPr>
              <w:keepNext w:val="0"/>
              <w:keepLines w:val="0"/>
              <w:pageBreakBefore w:val="0"/>
              <w:widowControl/>
              <w:kinsoku/>
              <w:overflowPunct/>
              <w:topLinePunct w:val="0"/>
              <w:autoSpaceDE/>
              <w:autoSpaceDN/>
              <w:bidi w:val="0"/>
              <w:adjustRightInd/>
              <w:snapToGrid/>
              <w:spacing w:line="600" w:lineRule="exact"/>
              <w:jc w:val="left"/>
              <w:textAlignment w:val="auto"/>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D47C90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Calibri" w:eastAsia="仿宋_GB2312" w:cs="Calibri"/>
                <w:b w:val="0"/>
                <w:bCs w:val="0"/>
                <w:color w:val="000000"/>
                <w:kern w:val="0"/>
                <w:szCs w:val="21"/>
                <w:lang w:val="en-US" w:eastAsia="zh-CN"/>
              </w:rPr>
            </w:pPr>
            <w:r>
              <w:rPr>
                <w:rFonts w:hint="eastAsia" w:ascii="仿宋_GB2312" w:hAnsi="Calibri" w:eastAsia="仿宋_GB2312" w:cs="Calibri"/>
                <w:b w:val="0"/>
                <w:bCs w:val="0"/>
                <w:color w:val="000000"/>
                <w:kern w:val="0"/>
                <w:szCs w:val="21"/>
                <w:lang w:val="en-US" w:eastAsia="zh-CN"/>
              </w:rPr>
              <w:t>0</w:t>
            </w:r>
          </w:p>
        </w:tc>
      </w:tr>
    </w:tbl>
    <w:p w14:paraId="7B647183">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行政机关收到和处理政府信息公开申请情况。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175B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26AA49DA">
            <w:pPr>
              <w:keepNext w:val="0"/>
              <w:keepLines w:val="0"/>
              <w:pageBreakBefore w:val="0"/>
              <w:widowControl/>
              <w:kinsoku/>
              <w:overflowPunct/>
              <w:topLinePunct w:val="0"/>
              <w:autoSpaceDE/>
              <w:autoSpaceDN/>
              <w:bidi w:val="0"/>
              <w:adjustRightInd/>
              <w:snapToGrid/>
              <w:spacing w:line="600" w:lineRule="exact"/>
              <w:jc w:val="center"/>
              <w:textAlignment w:val="auto"/>
              <w:rPr>
                <w:rFonts w:ascii="楷体_GB2312" w:hAnsi="黑体" w:eastAsia="楷体_GB2312"/>
                <w:b w:val="0"/>
                <w:bCs w:val="0"/>
                <w:kern w:val="0"/>
                <w:szCs w:val="21"/>
              </w:rPr>
            </w:pPr>
            <w:r>
              <w:rPr>
                <w:rFonts w:hint="eastAsia" w:ascii="楷体_GB2312" w:hAnsi="黑体" w:eastAsia="楷体_GB2312"/>
                <w:b w:val="0"/>
                <w:bCs w:val="0"/>
                <w:kern w:val="0"/>
                <w:szCs w:val="21"/>
              </w:rPr>
              <w:t>（本列数据的勾稽关系为：第一项加第二项之和，</w:t>
            </w:r>
          </w:p>
          <w:p w14:paraId="05794C50">
            <w:pPr>
              <w:keepNext w:val="0"/>
              <w:keepLines w:val="0"/>
              <w:pageBreakBefore w:val="0"/>
              <w:widowControl/>
              <w:kinsoku/>
              <w:overflowPunct/>
              <w:topLinePunct w:val="0"/>
              <w:autoSpaceDE/>
              <w:autoSpaceDN/>
              <w:bidi w:val="0"/>
              <w:adjustRightInd/>
              <w:snapToGrid/>
              <w:spacing w:line="600" w:lineRule="exact"/>
              <w:jc w:val="center"/>
              <w:textAlignment w:val="auto"/>
              <w:rPr>
                <w:rFonts w:ascii="仿宋_GB2312" w:hAnsi="Times New Roman" w:eastAsia="仿宋_GB2312"/>
                <w:b w:val="0"/>
                <w:bCs w:val="0"/>
                <w:szCs w:val="21"/>
              </w:rPr>
            </w:pPr>
            <w:r>
              <w:rPr>
                <w:rFonts w:hint="eastAsia" w:ascii="楷体_GB2312" w:hAnsi="黑体" w:eastAsia="楷体_GB2312"/>
                <w:b w:val="0"/>
                <w:bCs w:val="0"/>
                <w:kern w:val="0"/>
                <w:szCs w:val="21"/>
              </w:rPr>
              <w:t>等于第三项加第四项之和）</w:t>
            </w:r>
          </w:p>
        </w:tc>
        <w:tc>
          <w:tcPr>
            <w:tcW w:w="4820" w:type="dxa"/>
            <w:gridSpan w:val="7"/>
            <w:shd w:val="clear" w:color="auto" w:fill="auto"/>
            <w:tcMar>
              <w:left w:w="108" w:type="dxa"/>
              <w:right w:w="108" w:type="dxa"/>
            </w:tcMar>
            <w:vAlign w:val="center"/>
          </w:tcPr>
          <w:p w14:paraId="7C40FCD7">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szCs w:val="21"/>
              </w:rPr>
            </w:pPr>
            <w:r>
              <w:rPr>
                <w:rFonts w:hint="eastAsia" w:ascii="黑体" w:hAnsi="黑体" w:eastAsia="黑体"/>
                <w:b w:val="0"/>
                <w:bCs w:val="0"/>
                <w:kern w:val="0"/>
                <w:szCs w:val="21"/>
              </w:rPr>
              <w:t>申请人情况</w:t>
            </w:r>
          </w:p>
        </w:tc>
      </w:tr>
      <w:tr w14:paraId="48DD3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5782F11F">
            <w:pPr>
              <w:keepNext w:val="0"/>
              <w:keepLines w:val="0"/>
              <w:pageBreakBefore w:val="0"/>
              <w:kinsoku/>
              <w:overflowPunct/>
              <w:topLinePunct w:val="0"/>
              <w:autoSpaceDE/>
              <w:autoSpaceDN/>
              <w:bidi w:val="0"/>
              <w:adjustRightInd/>
              <w:snapToGrid/>
              <w:spacing w:line="600" w:lineRule="exact"/>
              <w:jc w:val="center"/>
              <w:textAlignment w:val="auto"/>
              <w:rPr>
                <w:rFonts w:ascii="仿宋_GB2312" w:hAnsi="Times New Roman" w:eastAsia="仿宋_GB2312"/>
                <w:b w:val="0"/>
                <w:bCs w:val="0"/>
                <w:szCs w:val="21"/>
              </w:rPr>
            </w:pPr>
          </w:p>
        </w:tc>
        <w:tc>
          <w:tcPr>
            <w:tcW w:w="829" w:type="dxa"/>
            <w:vMerge w:val="restart"/>
            <w:shd w:val="clear" w:color="auto" w:fill="auto"/>
            <w:tcMar>
              <w:left w:w="108" w:type="dxa"/>
              <w:right w:w="108" w:type="dxa"/>
            </w:tcMar>
            <w:vAlign w:val="center"/>
          </w:tcPr>
          <w:p w14:paraId="15513263">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szCs w:val="21"/>
              </w:rPr>
            </w:pPr>
            <w:r>
              <w:rPr>
                <w:rFonts w:hint="eastAsia" w:ascii="黑体" w:hAnsi="黑体" w:eastAsia="黑体"/>
                <w:b w:val="0"/>
                <w:bCs w:val="0"/>
                <w:kern w:val="0"/>
                <w:szCs w:val="21"/>
              </w:rPr>
              <w:t>自然人</w:t>
            </w:r>
          </w:p>
        </w:tc>
        <w:tc>
          <w:tcPr>
            <w:tcW w:w="3140" w:type="dxa"/>
            <w:gridSpan w:val="5"/>
            <w:shd w:val="clear" w:color="auto" w:fill="auto"/>
            <w:tcMar>
              <w:left w:w="108" w:type="dxa"/>
              <w:right w:w="108" w:type="dxa"/>
            </w:tcMar>
            <w:vAlign w:val="center"/>
          </w:tcPr>
          <w:p w14:paraId="519FB4FD">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szCs w:val="21"/>
              </w:rPr>
            </w:pPr>
            <w:r>
              <w:rPr>
                <w:rFonts w:hint="eastAsia" w:ascii="黑体" w:hAnsi="黑体" w:eastAsia="黑体"/>
                <w:b w:val="0"/>
                <w:bCs w:val="0"/>
                <w:kern w:val="0"/>
                <w:szCs w:val="21"/>
              </w:rPr>
              <w:t>法人或其他组织</w:t>
            </w:r>
          </w:p>
        </w:tc>
        <w:tc>
          <w:tcPr>
            <w:tcW w:w="851" w:type="dxa"/>
            <w:vMerge w:val="restart"/>
            <w:shd w:val="clear" w:color="auto" w:fill="auto"/>
            <w:tcMar>
              <w:left w:w="108" w:type="dxa"/>
              <w:right w:w="108" w:type="dxa"/>
            </w:tcMar>
            <w:vAlign w:val="center"/>
          </w:tcPr>
          <w:p w14:paraId="6D63CE73">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szCs w:val="21"/>
              </w:rPr>
            </w:pPr>
            <w:r>
              <w:rPr>
                <w:rFonts w:hint="eastAsia" w:ascii="黑体" w:hAnsi="黑体" w:eastAsia="黑体"/>
                <w:b w:val="0"/>
                <w:bCs w:val="0"/>
                <w:kern w:val="0"/>
                <w:szCs w:val="21"/>
              </w:rPr>
              <w:t>总计</w:t>
            </w:r>
          </w:p>
        </w:tc>
      </w:tr>
      <w:tr w14:paraId="0A65E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B044C49">
            <w:pPr>
              <w:keepNext w:val="0"/>
              <w:keepLines w:val="0"/>
              <w:pageBreakBefore w:val="0"/>
              <w:kinsoku/>
              <w:overflowPunct/>
              <w:topLinePunct w:val="0"/>
              <w:autoSpaceDE/>
              <w:autoSpaceDN/>
              <w:bidi w:val="0"/>
              <w:adjustRightInd/>
              <w:snapToGrid/>
              <w:spacing w:line="600" w:lineRule="exact"/>
              <w:jc w:val="center"/>
              <w:textAlignment w:val="auto"/>
              <w:rPr>
                <w:rFonts w:ascii="仿宋_GB2312" w:hAnsi="Times New Roman" w:eastAsia="仿宋_GB2312"/>
                <w:b w:val="0"/>
                <w:bCs w:val="0"/>
                <w:szCs w:val="21"/>
              </w:rPr>
            </w:pPr>
          </w:p>
        </w:tc>
        <w:tc>
          <w:tcPr>
            <w:tcW w:w="829" w:type="dxa"/>
            <w:vMerge w:val="continue"/>
            <w:shd w:val="clear" w:color="auto" w:fill="auto"/>
            <w:tcMar>
              <w:left w:w="108" w:type="dxa"/>
              <w:right w:w="108" w:type="dxa"/>
            </w:tcMar>
            <w:vAlign w:val="center"/>
          </w:tcPr>
          <w:p w14:paraId="43663444">
            <w:pPr>
              <w:keepNext w:val="0"/>
              <w:keepLines w:val="0"/>
              <w:pageBreakBefore w:val="0"/>
              <w:kinsoku/>
              <w:overflowPunct/>
              <w:topLinePunct w:val="0"/>
              <w:autoSpaceDE/>
              <w:autoSpaceDN/>
              <w:bidi w:val="0"/>
              <w:adjustRightInd/>
              <w:snapToGrid/>
              <w:spacing w:line="600" w:lineRule="exact"/>
              <w:jc w:val="center"/>
              <w:textAlignment w:val="auto"/>
              <w:rPr>
                <w:rFonts w:ascii="黑体" w:hAnsi="黑体" w:eastAsia="黑体"/>
                <w:b w:val="0"/>
                <w:bCs w:val="0"/>
                <w:szCs w:val="21"/>
              </w:rPr>
            </w:pPr>
          </w:p>
        </w:tc>
        <w:tc>
          <w:tcPr>
            <w:tcW w:w="567" w:type="dxa"/>
            <w:shd w:val="clear" w:color="auto" w:fill="auto"/>
            <w:tcMar>
              <w:left w:w="108" w:type="dxa"/>
              <w:right w:w="108" w:type="dxa"/>
            </w:tcMar>
            <w:vAlign w:val="center"/>
          </w:tcPr>
          <w:p w14:paraId="3D8D4F3D">
            <w:pPr>
              <w:keepNext w:val="0"/>
              <w:keepLines w:val="0"/>
              <w:pageBreakBefore w:val="0"/>
              <w:widowControl/>
              <w:kinsoku/>
              <w:overflowPunct/>
              <w:topLinePunct w:val="0"/>
              <w:autoSpaceDE/>
              <w:autoSpaceDN/>
              <w:bidi w:val="0"/>
              <w:adjustRightInd/>
              <w:snapToGrid/>
              <w:spacing w:line="600" w:lineRule="exact"/>
              <w:ind w:left="-106" w:leftChars="-51" w:right="-107" w:rightChars="-51" w:hanging="1"/>
              <w:jc w:val="center"/>
              <w:textAlignment w:val="auto"/>
              <w:rPr>
                <w:rFonts w:ascii="黑体" w:hAnsi="黑体" w:eastAsia="黑体"/>
                <w:b w:val="0"/>
                <w:bCs w:val="0"/>
                <w:szCs w:val="21"/>
              </w:rPr>
            </w:pPr>
            <w:r>
              <w:rPr>
                <w:rFonts w:hint="eastAsia" w:ascii="黑体" w:hAnsi="黑体" w:eastAsia="黑体"/>
                <w:b w:val="0"/>
                <w:bCs w:val="0"/>
                <w:kern w:val="0"/>
                <w:szCs w:val="21"/>
              </w:rPr>
              <w:t>商业企业</w:t>
            </w:r>
          </w:p>
        </w:tc>
        <w:tc>
          <w:tcPr>
            <w:tcW w:w="567" w:type="dxa"/>
            <w:shd w:val="clear" w:color="auto" w:fill="auto"/>
            <w:tcMar>
              <w:left w:w="108" w:type="dxa"/>
              <w:right w:w="108" w:type="dxa"/>
            </w:tcMar>
            <w:vAlign w:val="center"/>
          </w:tcPr>
          <w:p w14:paraId="185F1151">
            <w:pPr>
              <w:keepNext w:val="0"/>
              <w:keepLines w:val="0"/>
              <w:pageBreakBefore w:val="0"/>
              <w:widowControl/>
              <w:kinsoku/>
              <w:overflowPunct/>
              <w:topLinePunct w:val="0"/>
              <w:autoSpaceDE/>
              <w:autoSpaceDN/>
              <w:bidi w:val="0"/>
              <w:adjustRightInd/>
              <w:snapToGrid/>
              <w:spacing w:line="600" w:lineRule="exact"/>
              <w:ind w:left="-107" w:leftChars="-51" w:right="-107" w:rightChars="-51"/>
              <w:jc w:val="center"/>
              <w:textAlignment w:val="auto"/>
              <w:rPr>
                <w:rFonts w:ascii="黑体" w:hAnsi="黑体" w:eastAsia="黑体"/>
                <w:b w:val="0"/>
                <w:bCs w:val="0"/>
                <w:szCs w:val="21"/>
              </w:rPr>
            </w:pPr>
            <w:r>
              <w:rPr>
                <w:rFonts w:hint="eastAsia" w:ascii="黑体" w:hAnsi="黑体" w:eastAsia="黑体"/>
                <w:b w:val="0"/>
                <w:bCs w:val="0"/>
                <w:kern w:val="0"/>
                <w:szCs w:val="21"/>
              </w:rPr>
              <w:t>科研机构</w:t>
            </w:r>
          </w:p>
        </w:tc>
        <w:tc>
          <w:tcPr>
            <w:tcW w:w="731" w:type="dxa"/>
            <w:shd w:val="clear" w:color="auto" w:fill="auto"/>
            <w:tcMar>
              <w:left w:w="108" w:type="dxa"/>
              <w:right w:w="108" w:type="dxa"/>
            </w:tcMar>
            <w:vAlign w:val="center"/>
          </w:tcPr>
          <w:p w14:paraId="3F915BE9">
            <w:pPr>
              <w:keepNext w:val="0"/>
              <w:keepLines w:val="0"/>
              <w:pageBreakBefore w:val="0"/>
              <w:widowControl/>
              <w:kinsoku/>
              <w:overflowPunct/>
              <w:topLinePunct w:val="0"/>
              <w:autoSpaceDE/>
              <w:autoSpaceDN/>
              <w:bidi w:val="0"/>
              <w:adjustRightInd/>
              <w:snapToGrid/>
              <w:spacing w:line="600" w:lineRule="exact"/>
              <w:ind w:left="-107" w:leftChars="-51" w:right="-107" w:rightChars="-51"/>
              <w:jc w:val="center"/>
              <w:textAlignment w:val="auto"/>
              <w:rPr>
                <w:rFonts w:ascii="黑体" w:hAnsi="黑体" w:eastAsia="黑体"/>
                <w:b w:val="0"/>
                <w:bCs w:val="0"/>
                <w:szCs w:val="21"/>
              </w:rPr>
            </w:pPr>
            <w:r>
              <w:rPr>
                <w:rFonts w:hint="eastAsia" w:ascii="黑体" w:hAnsi="黑体" w:eastAsia="黑体"/>
                <w:b w:val="0"/>
                <w:bCs w:val="0"/>
                <w:kern w:val="0"/>
                <w:szCs w:val="21"/>
              </w:rPr>
              <w:t>社会公益组织</w:t>
            </w:r>
          </w:p>
        </w:tc>
        <w:tc>
          <w:tcPr>
            <w:tcW w:w="708" w:type="dxa"/>
            <w:shd w:val="clear" w:color="auto" w:fill="auto"/>
            <w:tcMar>
              <w:left w:w="108" w:type="dxa"/>
              <w:right w:w="108" w:type="dxa"/>
            </w:tcMar>
            <w:vAlign w:val="center"/>
          </w:tcPr>
          <w:p w14:paraId="467BC1A9">
            <w:pPr>
              <w:keepNext w:val="0"/>
              <w:keepLines w:val="0"/>
              <w:pageBreakBefore w:val="0"/>
              <w:widowControl/>
              <w:kinsoku/>
              <w:overflowPunct/>
              <w:topLinePunct w:val="0"/>
              <w:autoSpaceDE/>
              <w:autoSpaceDN/>
              <w:bidi w:val="0"/>
              <w:adjustRightInd/>
              <w:snapToGrid/>
              <w:spacing w:line="600" w:lineRule="exact"/>
              <w:ind w:left="-106" w:leftChars="-51" w:right="-107" w:rightChars="-51" w:hanging="1"/>
              <w:jc w:val="center"/>
              <w:textAlignment w:val="auto"/>
              <w:rPr>
                <w:rFonts w:ascii="黑体" w:hAnsi="黑体" w:eastAsia="黑体"/>
                <w:b w:val="0"/>
                <w:bCs w:val="0"/>
                <w:szCs w:val="21"/>
              </w:rPr>
            </w:pPr>
            <w:r>
              <w:rPr>
                <w:rFonts w:hint="eastAsia" w:ascii="黑体" w:hAnsi="黑体" w:eastAsia="黑体"/>
                <w:b w:val="0"/>
                <w:bCs w:val="0"/>
                <w:kern w:val="0"/>
                <w:szCs w:val="21"/>
              </w:rPr>
              <w:t>法律服务机构</w:t>
            </w:r>
          </w:p>
        </w:tc>
        <w:tc>
          <w:tcPr>
            <w:tcW w:w="567" w:type="dxa"/>
            <w:shd w:val="clear" w:color="auto" w:fill="auto"/>
            <w:tcMar>
              <w:left w:w="108" w:type="dxa"/>
              <w:right w:w="108" w:type="dxa"/>
            </w:tcMar>
            <w:vAlign w:val="center"/>
          </w:tcPr>
          <w:p w14:paraId="78CA198A">
            <w:pPr>
              <w:keepNext w:val="0"/>
              <w:keepLines w:val="0"/>
              <w:pageBreakBefore w:val="0"/>
              <w:widowControl/>
              <w:kinsoku/>
              <w:overflowPunct/>
              <w:topLinePunct w:val="0"/>
              <w:autoSpaceDE/>
              <w:autoSpaceDN/>
              <w:bidi w:val="0"/>
              <w:adjustRightInd/>
              <w:snapToGrid/>
              <w:spacing w:line="600" w:lineRule="exact"/>
              <w:ind w:left="-63" w:leftChars="-30" w:right="-134" w:rightChars="-64"/>
              <w:jc w:val="center"/>
              <w:textAlignment w:val="auto"/>
              <w:rPr>
                <w:rFonts w:ascii="黑体" w:hAnsi="黑体" w:eastAsia="黑体"/>
                <w:b w:val="0"/>
                <w:bCs w:val="0"/>
                <w:szCs w:val="21"/>
              </w:rPr>
            </w:pPr>
            <w:r>
              <w:rPr>
                <w:rFonts w:hint="eastAsia" w:ascii="黑体" w:hAnsi="黑体" w:eastAsia="黑体"/>
                <w:b w:val="0"/>
                <w:bCs w:val="0"/>
                <w:kern w:val="0"/>
                <w:szCs w:val="21"/>
              </w:rPr>
              <w:t>其他</w:t>
            </w:r>
          </w:p>
        </w:tc>
        <w:tc>
          <w:tcPr>
            <w:tcW w:w="851" w:type="dxa"/>
            <w:vMerge w:val="continue"/>
            <w:shd w:val="clear" w:color="auto" w:fill="auto"/>
            <w:tcMar>
              <w:left w:w="108" w:type="dxa"/>
              <w:right w:w="108" w:type="dxa"/>
            </w:tcMar>
            <w:vAlign w:val="center"/>
          </w:tcPr>
          <w:p w14:paraId="30EE4272">
            <w:pPr>
              <w:keepNext w:val="0"/>
              <w:keepLines w:val="0"/>
              <w:pageBreakBefore w:val="0"/>
              <w:kinsoku/>
              <w:overflowPunct/>
              <w:topLinePunct w:val="0"/>
              <w:autoSpaceDE/>
              <w:autoSpaceDN/>
              <w:bidi w:val="0"/>
              <w:adjustRightInd/>
              <w:snapToGrid/>
              <w:spacing w:line="600" w:lineRule="exact"/>
              <w:jc w:val="center"/>
              <w:textAlignment w:val="auto"/>
              <w:rPr>
                <w:rFonts w:ascii="仿宋_GB2312" w:hAnsi="Times New Roman" w:eastAsia="仿宋_GB2312"/>
                <w:b w:val="0"/>
                <w:bCs w:val="0"/>
                <w:szCs w:val="21"/>
              </w:rPr>
            </w:pPr>
          </w:p>
        </w:tc>
      </w:tr>
      <w:tr w14:paraId="295CC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4F8D9F3">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szCs w:val="21"/>
              </w:rPr>
            </w:pPr>
            <w:r>
              <w:rPr>
                <w:rFonts w:hint="eastAsia" w:ascii="黑体" w:hAnsi="黑体" w:eastAsia="黑体"/>
                <w:b w:val="0"/>
                <w:bCs w:val="0"/>
                <w:kern w:val="0"/>
                <w:szCs w:val="21"/>
              </w:rPr>
              <w:t>一、</w:t>
            </w:r>
            <w:bookmarkStart w:id="0" w:name="_Hlk66973412"/>
            <w:r>
              <w:rPr>
                <w:rFonts w:hint="eastAsia" w:ascii="黑体" w:hAnsi="黑体" w:eastAsia="黑体"/>
                <w:b w:val="0"/>
                <w:bCs w:val="0"/>
                <w:kern w:val="0"/>
                <w:szCs w:val="21"/>
              </w:rPr>
              <w:t>本年新收政府信息公开申请数量</w:t>
            </w:r>
            <w:bookmarkEnd w:id="0"/>
          </w:p>
        </w:tc>
        <w:tc>
          <w:tcPr>
            <w:tcW w:w="829" w:type="dxa"/>
            <w:shd w:val="clear" w:color="auto" w:fill="auto"/>
            <w:tcMar>
              <w:left w:w="108" w:type="dxa"/>
              <w:right w:w="108" w:type="dxa"/>
            </w:tcMar>
            <w:vAlign w:val="center"/>
          </w:tcPr>
          <w:p w14:paraId="7CBDFA4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2</w:t>
            </w:r>
          </w:p>
        </w:tc>
        <w:tc>
          <w:tcPr>
            <w:tcW w:w="567" w:type="dxa"/>
            <w:shd w:val="clear" w:color="auto" w:fill="auto"/>
            <w:tcMar>
              <w:left w:w="108" w:type="dxa"/>
              <w:right w:w="108" w:type="dxa"/>
            </w:tcMar>
            <w:vAlign w:val="center"/>
          </w:tcPr>
          <w:p w14:paraId="4AC28B5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09C018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6A9DC1D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64C18E5B">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FC7DA6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22CC96F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2</w:t>
            </w:r>
          </w:p>
        </w:tc>
      </w:tr>
      <w:tr w14:paraId="16AC8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4AE871">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szCs w:val="21"/>
              </w:rPr>
            </w:pPr>
            <w:r>
              <w:rPr>
                <w:rFonts w:hint="eastAsia" w:ascii="黑体" w:hAnsi="黑体" w:eastAsia="黑体"/>
                <w:b w:val="0"/>
                <w:bCs w:val="0"/>
                <w:kern w:val="0"/>
                <w:szCs w:val="21"/>
              </w:rPr>
              <w:t>二、上年结转政府信息公开申请数量</w:t>
            </w:r>
          </w:p>
        </w:tc>
        <w:tc>
          <w:tcPr>
            <w:tcW w:w="829" w:type="dxa"/>
            <w:shd w:val="clear" w:color="auto" w:fill="auto"/>
            <w:tcMar>
              <w:left w:w="108" w:type="dxa"/>
              <w:right w:w="108" w:type="dxa"/>
            </w:tcMar>
            <w:vAlign w:val="center"/>
          </w:tcPr>
          <w:p w14:paraId="6FD91122">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A197F7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53378E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1DCA2C7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3C63D332">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088C76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0FDC7FE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r>
      <w:tr w14:paraId="1326E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C3825F0">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szCs w:val="21"/>
              </w:rPr>
            </w:pPr>
            <w:r>
              <w:rPr>
                <w:rFonts w:hint="eastAsia" w:ascii="黑体" w:hAnsi="黑体" w:eastAsia="黑体"/>
                <w:b w:val="0"/>
                <w:bCs w:val="0"/>
                <w:kern w:val="0"/>
                <w:szCs w:val="21"/>
              </w:rPr>
              <w:t>三、本年度办理结果</w:t>
            </w:r>
          </w:p>
        </w:tc>
        <w:tc>
          <w:tcPr>
            <w:tcW w:w="4677" w:type="dxa"/>
            <w:gridSpan w:val="2"/>
            <w:shd w:val="clear" w:color="auto" w:fill="auto"/>
            <w:tcMar>
              <w:left w:w="108" w:type="dxa"/>
              <w:right w:w="108" w:type="dxa"/>
            </w:tcMar>
            <w:vAlign w:val="center"/>
          </w:tcPr>
          <w:p w14:paraId="4E3D47D7">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szCs w:val="21"/>
              </w:rPr>
            </w:pPr>
            <w:r>
              <w:rPr>
                <w:rFonts w:hint="eastAsia" w:ascii="黑体" w:hAnsi="黑体" w:eastAsia="黑体"/>
                <w:b w:val="0"/>
                <w:bCs w:val="0"/>
                <w:kern w:val="0"/>
                <w:szCs w:val="21"/>
              </w:rPr>
              <w:t>（一）予以公开</w:t>
            </w:r>
          </w:p>
        </w:tc>
        <w:tc>
          <w:tcPr>
            <w:tcW w:w="829" w:type="dxa"/>
            <w:shd w:val="clear" w:color="auto" w:fill="auto"/>
            <w:tcMar>
              <w:left w:w="108" w:type="dxa"/>
              <w:right w:w="108" w:type="dxa"/>
            </w:tcMar>
            <w:vAlign w:val="center"/>
          </w:tcPr>
          <w:p w14:paraId="3CDE625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CB1B6F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1633D96">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7F00ECE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033BAD2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4D952A4">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1F358E3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r>
      <w:tr w14:paraId="01E01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416" w:type="dxa"/>
            <w:vMerge w:val="continue"/>
            <w:shd w:val="clear" w:color="auto" w:fill="auto"/>
            <w:tcMar>
              <w:left w:w="108" w:type="dxa"/>
              <w:right w:w="108" w:type="dxa"/>
            </w:tcMar>
            <w:vAlign w:val="center"/>
          </w:tcPr>
          <w:p w14:paraId="5C3641B7">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4677" w:type="dxa"/>
            <w:gridSpan w:val="2"/>
            <w:shd w:val="clear" w:color="auto" w:fill="auto"/>
            <w:tcMar>
              <w:left w:w="108" w:type="dxa"/>
              <w:right w:w="108" w:type="dxa"/>
            </w:tcMar>
            <w:vAlign w:val="center"/>
          </w:tcPr>
          <w:p w14:paraId="3F506F69">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szCs w:val="21"/>
              </w:rPr>
            </w:pPr>
            <w:r>
              <w:rPr>
                <w:rFonts w:hint="eastAsia" w:ascii="黑体" w:hAnsi="黑体" w:eastAsia="黑体"/>
                <w:b w:val="0"/>
                <w:bCs w:val="0"/>
                <w:kern w:val="0"/>
                <w:szCs w:val="21"/>
              </w:rPr>
              <w:t>（二）部分公开（</w:t>
            </w:r>
            <w:bookmarkStart w:id="1" w:name="_Hlk66973981"/>
            <w:r>
              <w:rPr>
                <w:rFonts w:hint="eastAsia" w:ascii="黑体" w:hAnsi="黑体" w:eastAsia="黑体"/>
                <w:b w:val="0"/>
                <w:bCs w:val="0"/>
                <w:kern w:val="0"/>
                <w:szCs w:val="21"/>
              </w:rPr>
              <w:t>区分处理的，只计这一情形，不计其他情形</w:t>
            </w:r>
            <w:bookmarkEnd w:id="1"/>
            <w:r>
              <w:rPr>
                <w:rFonts w:hint="eastAsia" w:ascii="黑体" w:hAnsi="黑体" w:eastAsia="黑体"/>
                <w:b w:val="0"/>
                <w:bCs w:val="0"/>
                <w:kern w:val="0"/>
                <w:szCs w:val="21"/>
              </w:rPr>
              <w:t>）</w:t>
            </w:r>
          </w:p>
        </w:tc>
        <w:tc>
          <w:tcPr>
            <w:tcW w:w="829" w:type="dxa"/>
            <w:shd w:val="clear" w:color="auto" w:fill="auto"/>
            <w:tcMar>
              <w:left w:w="108" w:type="dxa"/>
              <w:right w:w="108" w:type="dxa"/>
            </w:tcMar>
            <w:vAlign w:val="center"/>
          </w:tcPr>
          <w:p w14:paraId="711CF11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cstheme="minorBidi"/>
                <w:b w:val="0"/>
                <w:bCs w:val="0"/>
                <w:kern w:val="2"/>
                <w:sz w:val="21"/>
                <w:szCs w:val="21"/>
                <w:lang w:val="en-US" w:eastAsia="zh-CN" w:bidi="ar-SA"/>
              </w:rPr>
              <w:t>0</w:t>
            </w:r>
          </w:p>
        </w:tc>
        <w:tc>
          <w:tcPr>
            <w:tcW w:w="567" w:type="dxa"/>
            <w:shd w:val="clear" w:color="auto" w:fill="auto"/>
            <w:tcMar>
              <w:left w:w="108" w:type="dxa"/>
              <w:right w:w="108" w:type="dxa"/>
            </w:tcMar>
            <w:vAlign w:val="center"/>
          </w:tcPr>
          <w:p w14:paraId="63B63D84">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AE51FE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35430C35">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202FC3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0DA289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21C5EE4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cstheme="minorBidi"/>
                <w:b w:val="0"/>
                <w:bCs w:val="0"/>
                <w:kern w:val="2"/>
                <w:sz w:val="21"/>
                <w:szCs w:val="21"/>
                <w:lang w:val="en-US" w:eastAsia="zh-CN" w:bidi="ar-SA"/>
              </w:rPr>
              <w:t>0</w:t>
            </w:r>
          </w:p>
        </w:tc>
      </w:tr>
      <w:tr w14:paraId="391AC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416" w:type="dxa"/>
            <w:vMerge w:val="continue"/>
            <w:shd w:val="clear" w:color="auto" w:fill="auto"/>
            <w:tcMar>
              <w:left w:w="108" w:type="dxa"/>
              <w:right w:w="108" w:type="dxa"/>
            </w:tcMar>
            <w:vAlign w:val="center"/>
          </w:tcPr>
          <w:p w14:paraId="235D5DCE">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restart"/>
            <w:shd w:val="clear" w:color="auto" w:fill="auto"/>
            <w:tcMar>
              <w:left w:w="108" w:type="dxa"/>
              <w:right w:w="108" w:type="dxa"/>
            </w:tcMar>
            <w:vAlign w:val="center"/>
          </w:tcPr>
          <w:p w14:paraId="05197E9D">
            <w:pPr>
              <w:keepNext w:val="0"/>
              <w:keepLines w:val="0"/>
              <w:pageBreakBefore w:val="0"/>
              <w:widowControl/>
              <w:kinsoku/>
              <w:overflowPunct/>
              <w:topLinePunct w:val="0"/>
              <w:autoSpaceDE/>
              <w:autoSpaceDN/>
              <w:bidi w:val="0"/>
              <w:adjustRightInd/>
              <w:snapToGrid/>
              <w:spacing w:line="600" w:lineRule="exact"/>
              <w:ind w:left="-107" w:leftChars="-51"/>
              <w:textAlignment w:val="auto"/>
              <w:rPr>
                <w:rFonts w:ascii="黑体" w:hAnsi="黑体" w:eastAsia="黑体"/>
                <w:b w:val="0"/>
                <w:bCs w:val="0"/>
                <w:szCs w:val="21"/>
              </w:rPr>
            </w:pPr>
            <w:r>
              <w:rPr>
                <w:rFonts w:hint="eastAsia" w:ascii="黑体" w:hAnsi="黑体" w:eastAsia="黑体"/>
                <w:b w:val="0"/>
                <w:bCs w:val="0"/>
                <w:kern w:val="0"/>
                <w:szCs w:val="21"/>
              </w:rPr>
              <w:t>（三）不予公开</w:t>
            </w:r>
          </w:p>
        </w:tc>
        <w:tc>
          <w:tcPr>
            <w:tcW w:w="2976" w:type="dxa"/>
            <w:shd w:val="clear" w:color="auto" w:fill="auto"/>
            <w:tcMar>
              <w:left w:w="108" w:type="dxa"/>
              <w:right w:w="108" w:type="dxa"/>
            </w:tcMar>
            <w:vAlign w:val="center"/>
          </w:tcPr>
          <w:p w14:paraId="292B8EE7">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1.属于国家秘密</w:t>
            </w:r>
          </w:p>
        </w:tc>
        <w:tc>
          <w:tcPr>
            <w:tcW w:w="829" w:type="dxa"/>
            <w:shd w:val="clear" w:color="auto" w:fill="auto"/>
            <w:tcMar>
              <w:left w:w="108" w:type="dxa"/>
              <w:right w:w="108" w:type="dxa"/>
            </w:tcMar>
            <w:vAlign w:val="center"/>
          </w:tcPr>
          <w:p w14:paraId="590AD64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E015BE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755C0F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02E934E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63ADAF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6B0858B">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5204AB7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72576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5F425ED">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3DD64EC9">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2AE4664B">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2.</w:t>
            </w:r>
            <w:bookmarkStart w:id="2" w:name="_Hlk66974104"/>
            <w:r>
              <w:rPr>
                <w:rFonts w:hint="eastAsia" w:ascii="仿宋_GB2312" w:hAnsi="黑体" w:eastAsia="仿宋_GB2312"/>
                <w:b w:val="0"/>
                <w:bCs w:val="0"/>
                <w:kern w:val="0"/>
                <w:szCs w:val="21"/>
              </w:rPr>
              <w:t>其他法律行政法规禁止公开</w:t>
            </w:r>
            <w:bookmarkEnd w:id="2"/>
          </w:p>
        </w:tc>
        <w:tc>
          <w:tcPr>
            <w:tcW w:w="829" w:type="dxa"/>
            <w:shd w:val="clear" w:color="auto" w:fill="auto"/>
            <w:tcMar>
              <w:left w:w="108" w:type="dxa"/>
              <w:right w:w="108" w:type="dxa"/>
            </w:tcMar>
            <w:vAlign w:val="center"/>
          </w:tcPr>
          <w:p w14:paraId="4B81ED2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411D1B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FC3073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217F412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147FFFD2">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EE11D32">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4B697F1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225BC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3458EE">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46767E5B">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0AD95638">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3.危及“三安全一稳定”</w:t>
            </w:r>
          </w:p>
        </w:tc>
        <w:tc>
          <w:tcPr>
            <w:tcW w:w="829" w:type="dxa"/>
            <w:shd w:val="clear" w:color="auto" w:fill="auto"/>
            <w:tcMar>
              <w:left w:w="108" w:type="dxa"/>
              <w:right w:w="108" w:type="dxa"/>
            </w:tcMar>
            <w:vAlign w:val="center"/>
          </w:tcPr>
          <w:p w14:paraId="3B32B1B6">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897A815">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45EFD64">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779DFF95">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4B35F86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0211F24">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52EED6DB">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74707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3CCD43E">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5FC172E9">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14ECF7BC">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4.</w:t>
            </w:r>
            <w:bookmarkStart w:id="3" w:name="_Hlk66974290"/>
            <w:r>
              <w:rPr>
                <w:rFonts w:hint="eastAsia" w:ascii="仿宋_GB2312" w:hAnsi="黑体" w:eastAsia="仿宋_GB2312"/>
                <w:b w:val="0"/>
                <w:bCs w:val="0"/>
                <w:kern w:val="0"/>
                <w:szCs w:val="21"/>
              </w:rPr>
              <w:t>保护第三方合法权益</w:t>
            </w:r>
            <w:bookmarkEnd w:id="3"/>
          </w:p>
        </w:tc>
        <w:tc>
          <w:tcPr>
            <w:tcW w:w="829" w:type="dxa"/>
            <w:shd w:val="clear" w:color="auto" w:fill="auto"/>
            <w:tcMar>
              <w:left w:w="108" w:type="dxa"/>
              <w:right w:w="108" w:type="dxa"/>
            </w:tcMar>
            <w:vAlign w:val="center"/>
          </w:tcPr>
          <w:p w14:paraId="74008E3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C17B0C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7BD5FE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732CFD6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2EEA9FB6">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B5C8A2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4DF8399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09817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D1A4E92">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1B2C4785">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523E0444">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5.属于三类内部事务信息</w:t>
            </w:r>
          </w:p>
        </w:tc>
        <w:tc>
          <w:tcPr>
            <w:tcW w:w="829" w:type="dxa"/>
            <w:shd w:val="clear" w:color="auto" w:fill="auto"/>
            <w:tcMar>
              <w:left w:w="108" w:type="dxa"/>
              <w:right w:w="108" w:type="dxa"/>
            </w:tcMar>
            <w:vAlign w:val="center"/>
          </w:tcPr>
          <w:p w14:paraId="65FEA68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F67BD0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0D5F65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6FB3A69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14C4E98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165FCD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5E50073B">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7092B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01D3C47">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577B6544">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47BACA32">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6.</w:t>
            </w:r>
            <w:bookmarkStart w:id="4" w:name="_Hlk66974555"/>
            <w:r>
              <w:rPr>
                <w:rFonts w:hint="eastAsia" w:ascii="仿宋_GB2312" w:hAnsi="黑体" w:eastAsia="仿宋_GB2312"/>
                <w:b w:val="0"/>
                <w:bCs w:val="0"/>
                <w:kern w:val="0"/>
                <w:szCs w:val="21"/>
              </w:rPr>
              <w:t>属于四类过程性信息</w:t>
            </w:r>
            <w:bookmarkEnd w:id="4"/>
          </w:p>
        </w:tc>
        <w:tc>
          <w:tcPr>
            <w:tcW w:w="829" w:type="dxa"/>
            <w:shd w:val="clear" w:color="auto" w:fill="auto"/>
            <w:tcMar>
              <w:left w:w="108" w:type="dxa"/>
              <w:right w:w="108" w:type="dxa"/>
            </w:tcMar>
            <w:vAlign w:val="center"/>
          </w:tcPr>
          <w:p w14:paraId="7AB2CE3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303AAF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EDA38C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27B2ACA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33704336">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733D65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77FC2F22">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7B46E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A4856A2">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10273E52">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3C230E09">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7.属于行政执法案卷</w:t>
            </w:r>
          </w:p>
        </w:tc>
        <w:tc>
          <w:tcPr>
            <w:tcW w:w="829" w:type="dxa"/>
            <w:shd w:val="clear" w:color="auto" w:fill="auto"/>
            <w:tcMar>
              <w:left w:w="108" w:type="dxa"/>
              <w:right w:w="108" w:type="dxa"/>
            </w:tcMar>
            <w:vAlign w:val="center"/>
          </w:tcPr>
          <w:p w14:paraId="1915EAD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38D62F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1D40C7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4F8BA87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688FFD4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804E446">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6B066C65">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692CC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3C3BD8F">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6EC9DC67">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2C7DAD6C">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8.</w:t>
            </w:r>
            <w:bookmarkStart w:id="5" w:name="_Hlk66975211"/>
            <w:r>
              <w:rPr>
                <w:rFonts w:hint="eastAsia" w:ascii="仿宋_GB2312" w:hAnsi="黑体" w:eastAsia="仿宋_GB2312"/>
                <w:b w:val="0"/>
                <w:bCs w:val="0"/>
                <w:kern w:val="0"/>
                <w:szCs w:val="21"/>
              </w:rPr>
              <w:t>属于行政查询事项</w:t>
            </w:r>
            <w:bookmarkEnd w:id="5"/>
          </w:p>
        </w:tc>
        <w:tc>
          <w:tcPr>
            <w:tcW w:w="829" w:type="dxa"/>
            <w:shd w:val="clear" w:color="auto" w:fill="auto"/>
            <w:tcMar>
              <w:left w:w="108" w:type="dxa"/>
              <w:right w:w="108" w:type="dxa"/>
            </w:tcMar>
            <w:vAlign w:val="center"/>
          </w:tcPr>
          <w:p w14:paraId="52F87B1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CDE693B">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2B5516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2CEFD1C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3633ECB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43FC425">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4D041B4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514C7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B3ED2A">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restart"/>
            <w:shd w:val="clear" w:color="auto" w:fill="auto"/>
            <w:tcMar>
              <w:left w:w="108" w:type="dxa"/>
              <w:right w:w="108" w:type="dxa"/>
            </w:tcMar>
            <w:vAlign w:val="center"/>
          </w:tcPr>
          <w:p w14:paraId="124CC3D3">
            <w:pPr>
              <w:keepNext w:val="0"/>
              <w:keepLines w:val="0"/>
              <w:pageBreakBefore w:val="0"/>
              <w:widowControl/>
              <w:kinsoku/>
              <w:overflowPunct/>
              <w:topLinePunct w:val="0"/>
              <w:autoSpaceDE/>
              <w:autoSpaceDN/>
              <w:bidi w:val="0"/>
              <w:adjustRightInd/>
              <w:snapToGrid/>
              <w:spacing w:line="600" w:lineRule="exact"/>
              <w:ind w:left="-107" w:leftChars="-51"/>
              <w:textAlignment w:val="auto"/>
              <w:rPr>
                <w:rFonts w:ascii="黑体" w:hAnsi="黑体" w:eastAsia="黑体"/>
                <w:b w:val="0"/>
                <w:bCs w:val="0"/>
                <w:szCs w:val="21"/>
              </w:rPr>
            </w:pPr>
            <w:r>
              <w:rPr>
                <w:rFonts w:hint="eastAsia" w:ascii="黑体" w:hAnsi="黑体" w:eastAsia="黑体"/>
                <w:b w:val="0"/>
                <w:bCs w:val="0"/>
                <w:kern w:val="0"/>
                <w:szCs w:val="21"/>
              </w:rPr>
              <w:t>（四）无法提供</w:t>
            </w:r>
          </w:p>
        </w:tc>
        <w:tc>
          <w:tcPr>
            <w:tcW w:w="2976" w:type="dxa"/>
            <w:shd w:val="clear" w:color="auto" w:fill="auto"/>
            <w:tcMar>
              <w:left w:w="108" w:type="dxa"/>
              <w:right w:w="108" w:type="dxa"/>
            </w:tcMar>
            <w:vAlign w:val="center"/>
          </w:tcPr>
          <w:p w14:paraId="2BDBCE2D">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1.本机关不掌握相关政府信息</w:t>
            </w:r>
          </w:p>
        </w:tc>
        <w:tc>
          <w:tcPr>
            <w:tcW w:w="829" w:type="dxa"/>
            <w:shd w:val="clear" w:color="auto" w:fill="auto"/>
            <w:tcMar>
              <w:left w:w="108" w:type="dxa"/>
              <w:right w:w="108" w:type="dxa"/>
            </w:tcMar>
            <w:vAlign w:val="center"/>
          </w:tcPr>
          <w:p w14:paraId="0D10FA9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A006174">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16A9BB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38DE77F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24EEFA0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4A9861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71C0962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r>
      <w:tr w14:paraId="5FFED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D23586">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59BA9CC4">
            <w:pPr>
              <w:keepNext w:val="0"/>
              <w:keepLines w:val="0"/>
              <w:pageBreakBefore w:val="0"/>
              <w:kinsoku/>
              <w:overflowPunct/>
              <w:topLinePunct w:val="0"/>
              <w:autoSpaceDE/>
              <w:autoSpaceDN/>
              <w:bidi w:val="0"/>
              <w:adjustRightInd/>
              <w:snapToGrid/>
              <w:spacing w:line="600" w:lineRule="exact"/>
              <w:ind w:left="-107" w:leftChars="-51"/>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13F09C87">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2.</w:t>
            </w:r>
            <w:bookmarkStart w:id="6" w:name="_Hlk66975392"/>
            <w:r>
              <w:rPr>
                <w:rFonts w:hint="eastAsia" w:ascii="仿宋_GB2312" w:hAnsi="黑体" w:eastAsia="仿宋_GB2312"/>
                <w:b w:val="0"/>
                <w:bCs w:val="0"/>
                <w:kern w:val="0"/>
                <w:szCs w:val="21"/>
              </w:rPr>
              <w:t>没有现成信息需要另行制作</w:t>
            </w:r>
            <w:bookmarkEnd w:id="6"/>
          </w:p>
        </w:tc>
        <w:tc>
          <w:tcPr>
            <w:tcW w:w="829" w:type="dxa"/>
            <w:shd w:val="clear" w:color="auto" w:fill="auto"/>
            <w:tcMar>
              <w:left w:w="108" w:type="dxa"/>
              <w:right w:w="108" w:type="dxa"/>
            </w:tcMar>
            <w:vAlign w:val="center"/>
          </w:tcPr>
          <w:p w14:paraId="4F79B83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A4F603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995AAD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0DB4220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1D0F3C6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24A41B4">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56013942">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5A84A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CC16E1">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3B8AA625">
            <w:pPr>
              <w:keepNext w:val="0"/>
              <w:keepLines w:val="0"/>
              <w:pageBreakBefore w:val="0"/>
              <w:kinsoku/>
              <w:overflowPunct/>
              <w:topLinePunct w:val="0"/>
              <w:autoSpaceDE/>
              <w:autoSpaceDN/>
              <w:bidi w:val="0"/>
              <w:adjustRightInd/>
              <w:snapToGrid/>
              <w:spacing w:line="600" w:lineRule="exact"/>
              <w:ind w:left="-107" w:leftChars="-51"/>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087F84C0">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3.</w:t>
            </w:r>
            <w:bookmarkStart w:id="7" w:name="_Hlk66975466"/>
            <w:r>
              <w:rPr>
                <w:rFonts w:hint="eastAsia" w:ascii="仿宋_GB2312" w:hAnsi="黑体" w:eastAsia="仿宋_GB2312"/>
                <w:b w:val="0"/>
                <w:bCs w:val="0"/>
                <w:kern w:val="0"/>
                <w:szCs w:val="21"/>
              </w:rPr>
              <w:t>补正后申请内容仍不明确</w:t>
            </w:r>
            <w:bookmarkEnd w:id="7"/>
          </w:p>
        </w:tc>
        <w:tc>
          <w:tcPr>
            <w:tcW w:w="829" w:type="dxa"/>
            <w:shd w:val="clear" w:color="auto" w:fill="auto"/>
            <w:tcMar>
              <w:left w:w="108" w:type="dxa"/>
              <w:right w:w="108" w:type="dxa"/>
            </w:tcMar>
            <w:vAlign w:val="center"/>
          </w:tcPr>
          <w:p w14:paraId="1F6092B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D4740A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14EFCB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129A0DC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3E4A2E5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054FD08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5521BD1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32239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1A08EF">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restart"/>
            <w:shd w:val="clear" w:color="auto" w:fill="auto"/>
            <w:tcMar>
              <w:left w:w="108" w:type="dxa"/>
              <w:right w:w="108" w:type="dxa"/>
            </w:tcMar>
            <w:vAlign w:val="center"/>
          </w:tcPr>
          <w:p w14:paraId="55E5A6A3">
            <w:pPr>
              <w:keepNext w:val="0"/>
              <w:keepLines w:val="0"/>
              <w:pageBreakBefore w:val="0"/>
              <w:widowControl/>
              <w:kinsoku/>
              <w:overflowPunct/>
              <w:topLinePunct w:val="0"/>
              <w:autoSpaceDE/>
              <w:autoSpaceDN/>
              <w:bidi w:val="0"/>
              <w:adjustRightInd/>
              <w:snapToGrid/>
              <w:spacing w:line="600" w:lineRule="exact"/>
              <w:ind w:left="-107" w:leftChars="-51"/>
              <w:textAlignment w:val="auto"/>
              <w:rPr>
                <w:rFonts w:ascii="黑体" w:hAnsi="黑体" w:eastAsia="黑体"/>
                <w:b w:val="0"/>
                <w:bCs w:val="0"/>
                <w:szCs w:val="21"/>
              </w:rPr>
            </w:pPr>
            <w:r>
              <w:rPr>
                <w:rFonts w:hint="eastAsia" w:ascii="黑体" w:hAnsi="黑体" w:eastAsia="黑体"/>
                <w:b w:val="0"/>
                <w:bCs w:val="0"/>
                <w:kern w:val="0"/>
                <w:szCs w:val="21"/>
              </w:rPr>
              <w:t>（五）不予处理</w:t>
            </w:r>
          </w:p>
        </w:tc>
        <w:tc>
          <w:tcPr>
            <w:tcW w:w="2976" w:type="dxa"/>
            <w:shd w:val="clear" w:color="auto" w:fill="auto"/>
            <w:tcMar>
              <w:left w:w="108" w:type="dxa"/>
              <w:right w:w="108" w:type="dxa"/>
            </w:tcMar>
            <w:vAlign w:val="center"/>
          </w:tcPr>
          <w:p w14:paraId="6739D744">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1.</w:t>
            </w:r>
            <w:bookmarkStart w:id="8" w:name="_Hlk66975537"/>
            <w:r>
              <w:rPr>
                <w:rFonts w:hint="eastAsia" w:ascii="仿宋_GB2312" w:hAnsi="黑体" w:eastAsia="仿宋_GB2312"/>
                <w:b w:val="0"/>
                <w:bCs w:val="0"/>
                <w:kern w:val="0"/>
                <w:szCs w:val="21"/>
              </w:rPr>
              <w:t>信访举报投诉类申请</w:t>
            </w:r>
            <w:bookmarkEnd w:id="8"/>
          </w:p>
        </w:tc>
        <w:tc>
          <w:tcPr>
            <w:tcW w:w="829" w:type="dxa"/>
            <w:shd w:val="clear" w:color="auto" w:fill="auto"/>
            <w:tcMar>
              <w:left w:w="108" w:type="dxa"/>
              <w:right w:w="108" w:type="dxa"/>
            </w:tcMar>
            <w:vAlign w:val="center"/>
          </w:tcPr>
          <w:p w14:paraId="0BB372D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410CFE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B58D7C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289BD4F6">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0C98F4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329075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6BEF5EA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075AC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8EAC8D">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03630731">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36316417">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2.重复申请</w:t>
            </w:r>
          </w:p>
        </w:tc>
        <w:tc>
          <w:tcPr>
            <w:tcW w:w="829" w:type="dxa"/>
            <w:shd w:val="clear" w:color="auto" w:fill="auto"/>
            <w:tcMar>
              <w:left w:w="108" w:type="dxa"/>
              <w:right w:w="108" w:type="dxa"/>
            </w:tcMar>
            <w:vAlign w:val="center"/>
          </w:tcPr>
          <w:p w14:paraId="4196E8F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6BED23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1891054">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5CE592A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299675A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2A8565B">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785B17CF">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2D63E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5987F3E">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14C45043">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6903F026">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szCs w:val="21"/>
              </w:rPr>
            </w:pPr>
            <w:r>
              <w:rPr>
                <w:rFonts w:hint="eastAsia" w:ascii="仿宋_GB2312" w:hAnsi="黑体" w:eastAsia="仿宋_GB2312"/>
                <w:b w:val="0"/>
                <w:bCs w:val="0"/>
                <w:kern w:val="0"/>
                <w:szCs w:val="21"/>
              </w:rPr>
              <w:t>3.要求提供公开出版物</w:t>
            </w:r>
          </w:p>
        </w:tc>
        <w:tc>
          <w:tcPr>
            <w:tcW w:w="829" w:type="dxa"/>
            <w:shd w:val="clear" w:color="auto" w:fill="auto"/>
            <w:tcMar>
              <w:left w:w="108" w:type="dxa"/>
              <w:right w:w="108" w:type="dxa"/>
            </w:tcMar>
            <w:vAlign w:val="center"/>
          </w:tcPr>
          <w:p w14:paraId="1495CEE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6579C992">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CBD6CC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21A8F7A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1FBF87B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592844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7ACE7D9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57020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4358BBD3">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36FD0722">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2FF528BA">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szCs w:val="21"/>
              </w:rPr>
            </w:pPr>
            <w:r>
              <w:rPr>
                <w:rFonts w:hint="eastAsia" w:ascii="仿宋_GB2312" w:hAnsi="黑体" w:eastAsia="仿宋_GB2312"/>
                <w:b w:val="0"/>
                <w:bCs w:val="0"/>
                <w:kern w:val="0"/>
                <w:szCs w:val="21"/>
              </w:rPr>
              <w:t>4.无正当理由大量反复申请</w:t>
            </w:r>
          </w:p>
        </w:tc>
        <w:tc>
          <w:tcPr>
            <w:tcW w:w="829" w:type="dxa"/>
            <w:shd w:val="clear" w:color="auto" w:fill="auto"/>
            <w:tcMar>
              <w:left w:w="108" w:type="dxa"/>
              <w:right w:w="108" w:type="dxa"/>
            </w:tcMar>
            <w:vAlign w:val="center"/>
          </w:tcPr>
          <w:p w14:paraId="26E7A56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4751838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A05E21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1E7A9A0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C5D5FB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A13655B">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3DEC503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74D9F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4EFE133">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0062CA2D">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2976" w:type="dxa"/>
            <w:shd w:val="clear" w:color="auto" w:fill="auto"/>
            <w:tcMar>
              <w:left w:w="108" w:type="dxa"/>
              <w:right w:w="108" w:type="dxa"/>
            </w:tcMar>
            <w:vAlign w:val="center"/>
          </w:tcPr>
          <w:p w14:paraId="607B8A11">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黑体" w:eastAsia="仿宋_GB2312"/>
                <w:b w:val="0"/>
                <w:bCs w:val="0"/>
                <w:kern w:val="0"/>
                <w:szCs w:val="21"/>
              </w:rPr>
              <w:t>5.要求行政机关确认或重新</w:t>
            </w:r>
          </w:p>
          <w:p w14:paraId="795D4728">
            <w:pPr>
              <w:keepNext w:val="0"/>
              <w:keepLines w:val="0"/>
              <w:pageBreakBefore w:val="0"/>
              <w:widowControl/>
              <w:kinsoku/>
              <w:overflowPunct/>
              <w:topLinePunct w:val="0"/>
              <w:autoSpaceDE/>
              <w:autoSpaceDN/>
              <w:bidi w:val="0"/>
              <w:adjustRightInd/>
              <w:snapToGrid/>
              <w:spacing w:line="600" w:lineRule="exact"/>
              <w:ind w:firstLine="210" w:firstLineChars="100"/>
              <w:textAlignment w:val="auto"/>
              <w:rPr>
                <w:rFonts w:ascii="仿宋_GB2312" w:hAnsi="黑体" w:eastAsia="仿宋_GB2312"/>
                <w:b w:val="0"/>
                <w:bCs w:val="0"/>
                <w:szCs w:val="21"/>
              </w:rPr>
            </w:pPr>
            <w:r>
              <w:rPr>
                <w:rFonts w:hint="eastAsia" w:ascii="仿宋_GB2312" w:hAnsi="黑体" w:eastAsia="仿宋_GB2312"/>
                <w:b w:val="0"/>
                <w:bCs w:val="0"/>
                <w:kern w:val="0"/>
                <w:szCs w:val="21"/>
              </w:rPr>
              <w:t>出具已获取信息</w:t>
            </w:r>
          </w:p>
        </w:tc>
        <w:tc>
          <w:tcPr>
            <w:tcW w:w="829" w:type="dxa"/>
            <w:shd w:val="clear" w:color="auto" w:fill="auto"/>
            <w:tcMar>
              <w:left w:w="108" w:type="dxa"/>
              <w:right w:w="108" w:type="dxa"/>
            </w:tcMar>
            <w:vAlign w:val="center"/>
          </w:tcPr>
          <w:p w14:paraId="715F881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6868DB4">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3E6375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626C5AA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30DB3B5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7AA467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0532011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68C12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A83C4A6">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restart"/>
            <w:shd w:val="clear" w:color="auto" w:fill="auto"/>
            <w:tcMar>
              <w:left w:w="108" w:type="dxa"/>
              <w:right w:w="108" w:type="dxa"/>
            </w:tcMar>
            <w:vAlign w:val="center"/>
          </w:tcPr>
          <w:p w14:paraId="53F55DDE">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kern w:val="0"/>
                <w:szCs w:val="21"/>
              </w:rPr>
            </w:pPr>
            <w:r>
              <w:rPr>
                <w:rFonts w:hint="eastAsia" w:ascii="黑体" w:hAnsi="黑体" w:eastAsia="黑体"/>
                <w:b w:val="0"/>
                <w:bCs w:val="0"/>
                <w:kern w:val="0"/>
                <w:szCs w:val="21"/>
              </w:rPr>
              <w:t>（六）其他处理</w:t>
            </w:r>
          </w:p>
        </w:tc>
        <w:tc>
          <w:tcPr>
            <w:tcW w:w="2976" w:type="dxa"/>
            <w:shd w:val="clear" w:color="auto" w:fill="auto"/>
            <w:vAlign w:val="center"/>
          </w:tcPr>
          <w:p w14:paraId="52AB652C">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楷体" w:eastAsia="仿宋_GB2312"/>
                <w:b w:val="0"/>
                <w:bCs w:val="0"/>
              </w:rPr>
            </w:pPr>
            <w:r>
              <w:rPr>
                <w:rFonts w:hint="eastAsia" w:ascii="仿宋_GB2312" w:hAnsi="楷体" w:eastAsia="仿宋_GB2312"/>
                <w:b w:val="0"/>
                <w:bCs w:val="0"/>
              </w:rPr>
              <w:t>1.申请人无正当理由逾期不补正、行政机关不再处理其政府信息公开申请</w:t>
            </w:r>
          </w:p>
        </w:tc>
        <w:tc>
          <w:tcPr>
            <w:tcW w:w="829" w:type="dxa"/>
            <w:shd w:val="clear" w:color="auto" w:fill="auto"/>
            <w:tcMar>
              <w:left w:w="108" w:type="dxa"/>
              <w:right w:w="108" w:type="dxa"/>
            </w:tcMar>
            <w:vAlign w:val="center"/>
          </w:tcPr>
          <w:p w14:paraId="3607901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872C86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A43085B">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3D8BEA1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0591539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76BFCD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625C0E8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01318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73E6AA5">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3919D153">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kern w:val="0"/>
                <w:szCs w:val="21"/>
              </w:rPr>
            </w:pPr>
          </w:p>
        </w:tc>
        <w:tc>
          <w:tcPr>
            <w:tcW w:w="2976" w:type="dxa"/>
            <w:shd w:val="clear" w:color="auto" w:fill="auto"/>
            <w:vAlign w:val="center"/>
          </w:tcPr>
          <w:p w14:paraId="579CA18F">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楷体" w:eastAsia="仿宋_GB2312"/>
                <w:b w:val="0"/>
                <w:bCs w:val="0"/>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4500EAE2">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2647AE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6829B2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66FF3F2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7275A6B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131C6C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333FE6E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6D2BD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274DAD1">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1701" w:type="dxa"/>
            <w:vMerge w:val="continue"/>
            <w:shd w:val="clear" w:color="auto" w:fill="auto"/>
            <w:tcMar>
              <w:left w:w="108" w:type="dxa"/>
              <w:right w:w="108" w:type="dxa"/>
            </w:tcMar>
            <w:vAlign w:val="center"/>
          </w:tcPr>
          <w:p w14:paraId="3832EC6A">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kern w:val="0"/>
                <w:szCs w:val="21"/>
              </w:rPr>
            </w:pPr>
          </w:p>
        </w:tc>
        <w:tc>
          <w:tcPr>
            <w:tcW w:w="2976" w:type="dxa"/>
            <w:shd w:val="clear" w:color="auto" w:fill="auto"/>
            <w:vAlign w:val="center"/>
          </w:tcPr>
          <w:p w14:paraId="217FAE9B">
            <w:pPr>
              <w:keepNext w:val="0"/>
              <w:keepLines w:val="0"/>
              <w:pageBreakBefore w:val="0"/>
              <w:widowControl/>
              <w:kinsoku/>
              <w:overflowPunct/>
              <w:topLinePunct w:val="0"/>
              <w:autoSpaceDE/>
              <w:autoSpaceDN/>
              <w:bidi w:val="0"/>
              <w:adjustRightInd/>
              <w:snapToGrid/>
              <w:spacing w:line="600" w:lineRule="exact"/>
              <w:textAlignment w:val="auto"/>
              <w:rPr>
                <w:rFonts w:ascii="仿宋_GB2312" w:hAnsi="黑体" w:eastAsia="仿宋_GB2312"/>
                <w:b w:val="0"/>
                <w:bCs w:val="0"/>
                <w:kern w:val="0"/>
                <w:szCs w:val="21"/>
              </w:rPr>
            </w:pPr>
            <w:r>
              <w:rPr>
                <w:rFonts w:hint="eastAsia" w:ascii="仿宋_GB2312" w:hAnsi="楷体" w:eastAsia="仿宋_GB2312"/>
                <w:b w:val="0"/>
                <w:bCs w:val="0"/>
              </w:rPr>
              <w:t>3.其他</w:t>
            </w:r>
          </w:p>
        </w:tc>
        <w:tc>
          <w:tcPr>
            <w:tcW w:w="829" w:type="dxa"/>
            <w:shd w:val="clear" w:color="auto" w:fill="auto"/>
            <w:tcMar>
              <w:left w:w="108" w:type="dxa"/>
              <w:right w:w="108" w:type="dxa"/>
            </w:tcMar>
            <w:vAlign w:val="center"/>
          </w:tcPr>
          <w:p w14:paraId="446D694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764155B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3F6B18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44D85BD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5DC38BB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35430A4">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617283F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r>
      <w:tr w14:paraId="606AA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054ABE1">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Cs w:val="21"/>
              </w:rPr>
            </w:pPr>
          </w:p>
        </w:tc>
        <w:tc>
          <w:tcPr>
            <w:tcW w:w="4677" w:type="dxa"/>
            <w:gridSpan w:val="2"/>
            <w:shd w:val="clear" w:color="auto" w:fill="auto"/>
            <w:tcMar>
              <w:left w:w="108" w:type="dxa"/>
              <w:right w:w="108" w:type="dxa"/>
            </w:tcMar>
            <w:vAlign w:val="center"/>
          </w:tcPr>
          <w:p w14:paraId="249F3075">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kern w:val="0"/>
                <w:szCs w:val="21"/>
              </w:rPr>
            </w:pPr>
            <w:r>
              <w:rPr>
                <w:rFonts w:hint="eastAsia" w:ascii="黑体" w:hAnsi="黑体" w:eastAsia="黑体"/>
                <w:b w:val="0"/>
                <w:bCs w:val="0"/>
                <w:kern w:val="0"/>
                <w:szCs w:val="21"/>
              </w:rPr>
              <w:t>（七）总计</w:t>
            </w:r>
          </w:p>
        </w:tc>
        <w:tc>
          <w:tcPr>
            <w:tcW w:w="829" w:type="dxa"/>
            <w:shd w:val="clear" w:color="auto" w:fill="auto"/>
            <w:tcMar>
              <w:left w:w="108" w:type="dxa"/>
              <w:right w:w="108" w:type="dxa"/>
            </w:tcMar>
            <w:vAlign w:val="center"/>
          </w:tcPr>
          <w:p w14:paraId="5203D3E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b w:val="0"/>
                <w:bCs w:val="0"/>
                <w:szCs w:val="21"/>
                <w:lang w:val="en-US" w:eastAsia="zh-CN"/>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59336E5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216CD3E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79DCEC0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0E61E13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0C8AA8E">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1181224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cstheme="minorBidi"/>
                <w:b w:val="0"/>
                <w:bCs w:val="0"/>
                <w:kern w:val="2"/>
                <w:sz w:val="21"/>
                <w:szCs w:val="21"/>
                <w:lang w:val="en-US" w:eastAsia="zh-CN" w:bidi="ar-SA"/>
              </w:rPr>
              <w:t>0</w:t>
            </w:r>
          </w:p>
        </w:tc>
      </w:tr>
      <w:tr w14:paraId="3D314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9627C6C">
            <w:pPr>
              <w:keepNext w:val="0"/>
              <w:keepLines w:val="0"/>
              <w:pageBreakBefore w:val="0"/>
              <w:widowControl/>
              <w:kinsoku/>
              <w:overflowPunct/>
              <w:topLinePunct w:val="0"/>
              <w:autoSpaceDE/>
              <w:autoSpaceDN/>
              <w:bidi w:val="0"/>
              <w:adjustRightInd/>
              <w:snapToGrid/>
              <w:spacing w:line="600" w:lineRule="exact"/>
              <w:textAlignment w:val="auto"/>
              <w:rPr>
                <w:rFonts w:ascii="黑体" w:hAnsi="黑体" w:eastAsia="黑体"/>
                <w:b w:val="0"/>
                <w:bCs w:val="0"/>
                <w:kern w:val="0"/>
                <w:szCs w:val="21"/>
              </w:rPr>
            </w:pPr>
            <w:r>
              <w:rPr>
                <w:rFonts w:hint="eastAsia" w:ascii="黑体" w:hAnsi="黑体" w:eastAsia="黑体"/>
                <w:b w:val="0"/>
                <w:bCs w:val="0"/>
                <w:kern w:val="0"/>
                <w:szCs w:val="21"/>
              </w:rPr>
              <w:t>四、结转下年度继续办理</w:t>
            </w:r>
          </w:p>
        </w:tc>
        <w:tc>
          <w:tcPr>
            <w:tcW w:w="829" w:type="dxa"/>
            <w:shd w:val="clear" w:color="auto" w:fill="auto"/>
            <w:tcMar>
              <w:left w:w="108" w:type="dxa"/>
              <w:right w:w="108" w:type="dxa"/>
            </w:tcMar>
            <w:vAlign w:val="center"/>
          </w:tcPr>
          <w:p w14:paraId="1212192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2</w:t>
            </w:r>
          </w:p>
        </w:tc>
        <w:tc>
          <w:tcPr>
            <w:tcW w:w="567" w:type="dxa"/>
            <w:shd w:val="clear" w:color="auto" w:fill="auto"/>
            <w:tcMar>
              <w:left w:w="108" w:type="dxa"/>
              <w:right w:w="108" w:type="dxa"/>
            </w:tcMar>
            <w:vAlign w:val="center"/>
          </w:tcPr>
          <w:p w14:paraId="320EDA21">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3C359AE9">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31" w:type="dxa"/>
            <w:shd w:val="clear" w:color="auto" w:fill="auto"/>
            <w:tcMar>
              <w:left w:w="108" w:type="dxa"/>
              <w:right w:w="108" w:type="dxa"/>
            </w:tcMar>
            <w:vAlign w:val="center"/>
          </w:tcPr>
          <w:p w14:paraId="5E9435B5">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708" w:type="dxa"/>
            <w:shd w:val="clear" w:color="auto" w:fill="auto"/>
            <w:tcMar>
              <w:left w:w="108" w:type="dxa"/>
              <w:right w:w="108" w:type="dxa"/>
            </w:tcMar>
            <w:vAlign w:val="center"/>
          </w:tcPr>
          <w:p w14:paraId="3CF4B196">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567" w:type="dxa"/>
            <w:shd w:val="clear" w:color="auto" w:fill="auto"/>
            <w:tcMar>
              <w:left w:w="108" w:type="dxa"/>
              <w:right w:w="108" w:type="dxa"/>
            </w:tcMar>
            <w:vAlign w:val="center"/>
          </w:tcPr>
          <w:p w14:paraId="1693253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0</w:t>
            </w:r>
          </w:p>
        </w:tc>
        <w:tc>
          <w:tcPr>
            <w:tcW w:w="851" w:type="dxa"/>
            <w:shd w:val="clear" w:color="auto" w:fill="auto"/>
            <w:tcMar>
              <w:left w:w="108" w:type="dxa"/>
              <w:right w:w="108" w:type="dxa"/>
            </w:tcMar>
            <w:vAlign w:val="center"/>
          </w:tcPr>
          <w:p w14:paraId="7C9DC73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仿宋_GB2312" w:hAnsi="Times New Roman" w:eastAsia="仿宋_GB2312" w:cstheme="minorBidi"/>
                <w:b w:val="0"/>
                <w:bCs w:val="0"/>
                <w:kern w:val="2"/>
                <w:sz w:val="21"/>
                <w:szCs w:val="21"/>
                <w:lang w:val="en-US" w:eastAsia="zh-CN" w:bidi="ar-SA"/>
              </w:rPr>
            </w:pPr>
            <w:r>
              <w:rPr>
                <w:rFonts w:hint="eastAsia" w:ascii="仿宋_GB2312" w:hAnsi="Times New Roman" w:eastAsia="仿宋_GB2312"/>
                <w:b w:val="0"/>
                <w:bCs w:val="0"/>
                <w:szCs w:val="21"/>
                <w:lang w:val="en-US" w:eastAsia="zh-CN"/>
              </w:rPr>
              <w:t>2</w:t>
            </w:r>
          </w:p>
        </w:tc>
      </w:tr>
    </w:tbl>
    <w:p w14:paraId="271F5653">
      <w:pPr>
        <w:keepNext w:val="0"/>
        <w:keepLines w:val="0"/>
        <w:pageBreakBefore w:val="0"/>
        <w:kinsoku/>
        <w:overflowPunct/>
        <w:topLinePunct w:val="0"/>
        <w:autoSpaceDE/>
        <w:autoSpaceDN/>
        <w:bidi w:val="0"/>
        <w:adjustRightInd/>
        <w:snapToGrid/>
        <w:spacing w:line="60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因政府信息公开工作被申请行政复议、提起行政诉讼情况。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076C8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A64655">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rPr>
            </w:pPr>
            <w:r>
              <w:rPr>
                <w:rFonts w:ascii="黑体" w:hAnsi="黑体" w:eastAsia="黑体"/>
                <w:b w:val="0"/>
                <w:bCs w:val="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51637B">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rPr>
            </w:pPr>
            <w:r>
              <w:rPr>
                <w:rFonts w:ascii="黑体" w:hAnsi="黑体" w:eastAsia="黑体"/>
                <w:b w:val="0"/>
                <w:bCs w:val="0"/>
                <w:kern w:val="0"/>
                <w:sz w:val="20"/>
                <w:szCs w:val="20"/>
              </w:rPr>
              <w:t>行政诉讼</w:t>
            </w:r>
          </w:p>
        </w:tc>
      </w:tr>
      <w:tr w14:paraId="7D3CF4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4EB224">
            <w:pPr>
              <w:keepNext w:val="0"/>
              <w:keepLines w:val="0"/>
              <w:pageBreakBefore w:val="0"/>
              <w:widowControl/>
              <w:kinsoku/>
              <w:overflowPunct/>
              <w:topLinePunct w:val="0"/>
              <w:autoSpaceDE/>
              <w:autoSpaceDN/>
              <w:bidi w:val="0"/>
              <w:adjustRightInd/>
              <w:snapToGrid/>
              <w:spacing w:line="600" w:lineRule="exact"/>
              <w:ind w:left="-149" w:leftChars="-71" w:right="-170" w:rightChars="-81"/>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结果</w:t>
            </w:r>
          </w:p>
          <w:p w14:paraId="0B52ED10">
            <w:pPr>
              <w:keepNext w:val="0"/>
              <w:keepLines w:val="0"/>
              <w:pageBreakBefore w:val="0"/>
              <w:widowControl/>
              <w:kinsoku/>
              <w:overflowPunct/>
              <w:topLinePunct w:val="0"/>
              <w:autoSpaceDE/>
              <w:autoSpaceDN/>
              <w:bidi w:val="0"/>
              <w:adjustRightInd/>
              <w:snapToGrid/>
              <w:spacing w:line="600" w:lineRule="exact"/>
              <w:ind w:left="-149" w:leftChars="-71" w:right="-170" w:rightChars="-81"/>
              <w:jc w:val="center"/>
              <w:textAlignment w:val="auto"/>
              <w:rPr>
                <w:rFonts w:ascii="黑体" w:hAnsi="黑体" w:eastAsia="黑体"/>
                <w:b w:val="0"/>
                <w:bCs w:val="0"/>
              </w:rPr>
            </w:pPr>
            <w:r>
              <w:rPr>
                <w:rFonts w:ascii="黑体" w:hAnsi="黑体" w:eastAsia="黑体"/>
                <w:b w:val="0"/>
                <w:bCs w:val="0"/>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E783666">
            <w:pPr>
              <w:keepNext w:val="0"/>
              <w:keepLines w:val="0"/>
              <w:pageBreakBefore w:val="0"/>
              <w:widowControl/>
              <w:kinsoku/>
              <w:overflowPunct/>
              <w:topLinePunct w:val="0"/>
              <w:autoSpaceDE/>
              <w:autoSpaceDN/>
              <w:bidi w:val="0"/>
              <w:adjustRightInd/>
              <w:snapToGrid/>
              <w:spacing w:line="600" w:lineRule="exact"/>
              <w:ind w:left="-43" w:leftChars="-21" w:right="-132" w:rightChars="-63" w:hanging="1"/>
              <w:jc w:val="center"/>
              <w:textAlignment w:val="auto"/>
              <w:rPr>
                <w:rFonts w:ascii="黑体" w:hAnsi="黑体" w:eastAsia="黑体"/>
                <w:b w:val="0"/>
                <w:bCs w:val="0"/>
              </w:rPr>
            </w:pPr>
            <w:r>
              <w:rPr>
                <w:rFonts w:ascii="黑体" w:hAnsi="黑体" w:eastAsia="黑体"/>
                <w:b w:val="0"/>
                <w:bCs w:val="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1D25E2">
            <w:pPr>
              <w:keepNext w:val="0"/>
              <w:keepLines w:val="0"/>
              <w:pageBreakBefore w:val="0"/>
              <w:widowControl/>
              <w:kinsoku/>
              <w:overflowPunct/>
              <w:topLinePunct w:val="0"/>
              <w:autoSpaceDE/>
              <w:autoSpaceDN/>
              <w:bidi w:val="0"/>
              <w:adjustRightInd/>
              <w:snapToGrid/>
              <w:spacing w:line="600" w:lineRule="exact"/>
              <w:ind w:left="-82" w:leftChars="-39" w:right="-97" w:rightChars="-46"/>
              <w:jc w:val="center"/>
              <w:textAlignment w:val="auto"/>
              <w:rPr>
                <w:rFonts w:ascii="黑体" w:hAnsi="黑体" w:eastAsia="黑体"/>
                <w:b w:val="0"/>
                <w:bCs w:val="0"/>
              </w:rPr>
            </w:pPr>
            <w:r>
              <w:rPr>
                <w:rFonts w:ascii="黑体" w:hAnsi="黑体" w:eastAsia="黑体"/>
                <w:b w:val="0"/>
                <w:bCs w:val="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F6E2FE">
            <w:pPr>
              <w:keepNext w:val="0"/>
              <w:keepLines w:val="0"/>
              <w:pageBreakBefore w:val="0"/>
              <w:widowControl/>
              <w:kinsoku/>
              <w:overflowPunct/>
              <w:topLinePunct w:val="0"/>
              <w:autoSpaceDE/>
              <w:autoSpaceDN/>
              <w:bidi w:val="0"/>
              <w:adjustRightInd/>
              <w:snapToGrid/>
              <w:spacing w:line="600" w:lineRule="exact"/>
              <w:ind w:left="-118" w:leftChars="-56" w:right="-118" w:rightChars="-56"/>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尚未</w:t>
            </w:r>
          </w:p>
          <w:p w14:paraId="6A4A578E">
            <w:pPr>
              <w:keepNext w:val="0"/>
              <w:keepLines w:val="0"/>
              <w:pageBreakBefore w:val="0"/>
              <w:widowControl/>
              <w:kinsoku/>
              <w:overflowPunct/>
              <w:topLinePunct w:val="0"/>
              <w:autoSpaceDE/>
              <w:autoSpaceDN/>
              <w:bidi w:val="0"/>
              <w:adjustRightInd/>
              <w:snapToGrid/>
              <w:spacing w:line="600" w:lineRule="exact"/>
              <w:ind w:left="-118" w:leftChars="-56" w:right="-118" w:rightChars="-56"/>
              <w:jc w:val="center"/>
              <w:textAlignment w:val="auto"/>
              <w:rPr>
                <w:rFonts w:ascii="黑体" w:hAnsi="黑体" w:eastAsia="黑体"/>
                <w:b w:val="0"/>
                <w:bCs w:val="0"/>
              </w:rPr>
            </w:pPr>
            <w:r>
              <w:rPr>
                <w:rFonts w:ascii="黑体" w:hAnsi="黑体" w:eastAsia="黑体"/>
                <w:b w:val="0"/>
                <w:bCs w:val="0"/>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DD6F1F">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总</w:t>
            </w:r>
          </w:p>
          <w:p w14:paraId="59DC6623">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rPr>
            </w:pPr>
            <w:r>
              <w:rPr>
                <w:rFonts w:ascii="黑体" w:hAnsi="黑体" w:eastAsia="黑体"/>
                <w:b w:val="0"/>
                <w:bCs w:val="0"/>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9E4B99">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rPr>
            </w:pPr>
            <w:r>
              <w:rPr>
                <w:rFonts w:ascii="黑体" w:hAnsi="黑体" w:eastAsia="黑体"/>
                <w:b w:val="0"/>
                <w:bCs w:val="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BC2304">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rPr>
            </w:pPr>
            <w:bookmarkStart w:id="9" w:name="_Hlk67039688"/>
            <w:r>
              <w:rPr>
                <w:rFonts w:ascii="黑体" w:hAnsi="黑体" w:eastAsia="黑体"/>
                <w:b w:val="0"/>
                <w:bCs w:val="0"/>
                <w:kern w:val="0"/>
                <w:sz w:val="20"/>
                <w:szCs w:val="20"/>
              </w:rPr>
              <w:t>复议后起诉</w:t>
            </w:r>
            <w:bookmarkEnd w:id="9"/>
          </w:p>
        </w:tc>
      </w:tr>
      <w:tr w14:paraId="485B49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1AB87D">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38E858B">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707035">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C7916D">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A2ED8B">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b w:val="0"/>
                <w:bCs w:val="0"/>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9FF17F3">
            <w:pPr>
              <w:keepNext w:val="0"/>
              <w:keepLines w:val="0"/>
              <w:pageBreakBefore w:val="0"/>
              <w:widowControl/>
              <w:kinsoku/>
              <w:overflowPunct/>
              <w:topLinePunct w:val="0"/>
              <w:autoSpaceDE/>
              <w:autoSpaceDN/>
              <w:bidi w:val="0"/>
              <w:adjustRightInd/>
              <w:snapToGrid/>
              <w:spacing w:line="600" w:lineRule="exact"/>
              <w:ind w:left="-105" w:leftChars="-50" w:right="-126" w:rightChars="-60"/>
              <w:jc w:val="center"/>
              <w:textAlignment w:val="auto"/>
              <w:rPr>
                <w:rFonts w:ascii="黑体" w:hAnsi="黑体" w:eastAsia="黑体"/>
                <w:b w:val="0"/>
                <w:bCs w:val="0"/>
              </w:rPr>
            </w:pPr>
            <w:r>
              <w:rPr>
                <w:rFonts w:ascii="黑体" w:hAnsi="黑体" w:eastAsia="黑体"/>
                <w:b w:val="0"/>
                <w:bCs w:val="0"/>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94CFB99">
            <w:pPr>
              <w:keepNext w:val="0"/>
              <w:keepLines w:val="0"/>
              <w:pageBreakBefore w:val="0"/>
              <w:widowControl/>
              <w:kinsoku/>
              <w:overflowPunct/>
              <w:topLinePunct w:val="0"/>
              <w:autoSpaceDE/>
              <w:autoSpaceDN/>
              <w:bidi w:val="0"/>
              <w:adjustRightInd/>
              <w:snapToGrid/>
              <w:spacing w:line="600" w:lineRule="exact"/>
              <w:ind w:left="-86" w:leftChars="-41" w:right="-88" w:rightChars="-42"/>
              <w:jc w:val="center"/>
              <w:textAlignment w:val="auto"/>
              <w:rPr>
                <w:rFonts w:ascii="黑体" w:hAnsi="黑体" w:eastAsia="黑体"/>
                <w:b w:val="0"/>
                <w:bCs w:val="0"/>
              </w:rPr>
            </w:pPr>
            <w:r>
              <w:rPr>
                <w:rFonts w:ascii="黑体" w:hAnsi="黑体" w:eastAsia="黑体"/>
                <w:b w:val="0"/>
                <w:bCs w:val="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A75E65">
            <w:pPr>
              <w:keepNext w:val="0"/>
              <w:keepLines w:val="0"/>
              <w:pageBreakBefore w:val="0"/>
              <w:widowControl/>
              <w:kinsoku/>
              <w:overflowPunct/>
              <w:topLinePunct w:val="0"/>
              <w:autoSpaceDE/>
              <w:autoSpaceDN/>
              <w:bidi w:val="0"/>
              <w:adjustRightInd/>
              <w:snapToGrid/>
              <w:spacing w:line="600" w:lineRule="exact"/>
              <w:ind w:left="-126" w:leftChars="-60" w:right="-136" w:rightChars="-65"/>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其他</w:t>
            </w:r>
          </w:p>
          <w:p w14:paraId="3601BB29">
            <w:pPr>
              <w:keepNext w:val="0"/>
              <w:keepLines w:val="0"/>
              <w:pageBreakBefore w:val="0"/>
              <w:widowControl/>
              <w:kinsoku/>
              <w:overflowPunct/>
              <w:topLinePunct w:val="0"/>
              <w:autoSpaceDE/>
              <w:autoSpaceDN/>
              <w:bidi w:val="0"/>
              <w:adjustRightInd/>
              <w:snapToGrid/>
              <w:spacing w:line="600" w:lineRule="exact"/>
              <w:ind w:left="-126" w:leftChars="-60" w:right="-136" w:rightChars="-65"/>
              <w:jc w:val="center"/>
              <w:textAlignment w:val="auto"/>
              <w:rPr>
                <w:rFonts w:ascii="黑体" w:hAnsi="黑体" w:eastAsia="黑体"/>
                <w:b w:val="0"/>
                <w:bCs w:val="0"/>
              </w:rPr>
            </w:pPr>
            <w:r>
              <w:rPr>
                <w:rFonts w:ascii="黑体" w:hAnsi="黑体" w:eastAsia="黑体"/>
                <w:b w:val="0"/>
                <w:bCs w:val="0"/>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2F2B42">
            <w:pPr>
              <w:keepNext w:val="0"/>
              <w:keepLines w:val="0"/>
              <w:pageBreakBefore w:val="0"/>
              <w:widowControl/>
              <w:kinsoku/>
              <w:overflowPunct/>
              <w:topLinePunct w:val="0"/>
              <w:autoSpaceDE/>
              <w:autoSpaceDN/>
              <w:bidi w:val="0"/>
              <w:adjustRightInd/>
              <w:snapToGrid/>
              <w:spacing w:line="600" w:lineRule="exact"/>
              <w:ind w:left="-164" w:leftChars="-78" w:right="-153" w:rightChars="-73"/>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尚未</w:t>
            </w:r>
          </w:p>
          <w:p w14:paraId="63F53F32">
            <w:pPr>
              <w:keepNext w:val="0"/>
              <w:keepLines w:val="0"/>
              <w:pageBreakBefore w:val="0"/>
              <w:widowControl/>
              <w:kinsoku/>
              <w:overflowPunct/>
              <w:topLinePunct w:val="0"/>
              <w:autoSpaceDE/>
              <w:autoSpaceDN/>
              <w:bidi w:val="0"/>
              <w:adjustRightInd/>
              <w:snapToGrid/>
              <w:spacing w:line="600" w:lineRule="exact"/>
              <w:ind w:left="-164" w:leftChars="-78" w:right="-153" w:rightChars="-73"/>
              <w:jc w:val="center"/>
              <w:textAlignment w:val="auto"/>
              <w:rPr>
                <w:rFonts w:ascii="黑体" w:hAnsi="黑体" w:eastAsia="黑体"/>
                <w:b w:val="0"/>
                <w:bCs w:val="0"/>
              </w:rPr>
            </w:pPr>
            <w:r>
              <w:rPr>
                <w:rFonts w:ascii="黑体" w:hAnsi="黑体" w:eastAsia="黑体"/>
                <w:b w:val="0"/>
                <w:bCs w:val="0"/>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BCD98">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rPr>
            </w:pPr>
            <w:r>
              <w:rPr>
                <w:rFonts w:ascii="黑体" w:hAnsi="黑体" w:eastAsia="黑体"/>
                <w:b w:val="0"/>
                <w:bCs w:val="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37B4AB">
            <w:pPr>
              <w:keepNext w:val="0"/>
              <w:keepLines w:val="0"/>
              <w:pageBreakBefore w:val="0"/>
              <w:widowControl/>
              <w:kinsoku/>
              <w:overflowPunct/>
              <w:topLinePunct w:val="0"/>
              <w:autoSpaceDE/>
              <w:autoSpaceDN/>
              <w:bidi w:val="0"/>
              <w:adjustRightInd/>
              <w:snapToGrid/>
              <w:spacing w:line="600" w:lineRule="exact"/>
              <w:ind w:left="-99" w:leftChars="-47" w:right="-78" w:rightChars="-37"/>
              <w:jc w:val="center"/>
              <w:textAlignment w:val="auto"/>
              <w:rPr>
                <w:rFonts w:ascii="黑体" w:hAnsi="黑体" w:eastAsia="黑体"/>
                <w:b w:val="0"/>
                <w:bCs w:val="0"/>
              </w:rPr>
            </w:pPr>
            <w:r>
              <w:rPr>
                <w:rFonts w:ascii="黑体" w:hAnsi="黑体" w:eastAsia="黑体"/>
                <w:b w:val="0"/>
                <w:bCs w:val="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57AAB6">
            <w:pPr>
              <w:keepNext w:val="0"/>
              <w:keepLines w:val="0"/>
              <w:pageBreakBefore w:val="0"/>
              <w:widowControl/>
              <w:kinsoku/>
              <w:overflowPunct/>
              <w:topLinePunct w:val="0"/>
              <w:autoSpaceDE/>
              <w:autoSpaceDN/>
              <w:bidi w:val="0"/>
              <w:adjustRightInd/>
              <w:snapToGrid/>
              <w:spacing w:line="600" w:lineRule="exact"/>
              <w:ind w:left="-136" w:leftChars="-65" w:right="-124" w:rightChars="-59"/>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结果</w:t>
            </w:r>
          </w:p>
          <w:p w14:paraId="6457027C">
            <w:pPr>
              <w:keepNext w:val="0"/>
              <w:keepLines w:val="0"/>
              <w:pageBreakBefore w:val="0"/>
              <w:widowControl/>
              <w:kinsoku/>
              <w:overflowPunct/>
              <w:topLinePunct w:val="0"/>
              <w:autoSpaceDE/>
              <w:autoSpaceDN/>
              <w:bidi w:val="0"/>
              <w:adjustRightInd/>
              <w:snapToGrid/>
              <w:spacing w:line="600" w:lineRule="exact"/>
              <w:ind w:left="-136" w:leftChars="-65" w:right="-124" w:rightChars="-59"/>
              <w:jc w:val="center"/>
              <w:textAlignment w:val="auto"/>
              <w:rPr>
                <w:rFonts w:ascii="黑体" w:hAnsi="黑体" w:eastAsia="黑体"/>
                <w:b w:val="0"/>
                <w:bCs w:val="0"/>
              </w:rPr>
            </w:pPr>
            <w:r>
              <w:rPr>
                <w:rFonts w:ascii="黑体" w:hAnsi="黑体" w:eastAsia="黑体"/>
                <w:b w:val="0"/>
                <w:bCs w:val="0"/>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D62D41">
            <w:pPr>
              <w:keepNext w:val="0"/>
              <w:keepLines w:val="0"/>
              <w:pageBreakBefore w:val="0"/>
              <w:widowControl/>
              <w:kinsoku/>
              <w:overflowPunct/>
              <w:topLinePunct w:val="0"/>
              <w:autoSpaceDE/>
              <w:autoSpaceDN/>
              <w:bidi w:val="0"/>
              <w:adjustRightInd/>
              <w:snapToGrid/>
              <w:spacing w:line="600" w:lineRule="exact"/>
              <w:ind w:left="-173" w:leftChars="-83" w:right="-134" w:rightChars="-64" w:hanging="1"/>
              <w:jc w:val="center"/>
              <w:textAlignment w:val="auto"/>
              <w:rPr>
                <w:rFonts w:ascii="黑体" w:hAnsi="黑体" w:eastAsia="黑体"/>
                <w:b w:val="0"/>
                <w:bCs w:val="0"/>
                <w:kern w:val="0"/>
                <w:sz w:val="20"/>
                <w:szCs w:val="20"/>
              </w:rPr>
            </w:pPr>
            <w:r>
              <w:rPr>
                <w:rFonts w:ascii="黑体" w:hAnsi="黑体" w:eastAsia="黑体"/>
                <w:b w:val="0"/>
                <w:bCs w:val="0"/>
                <w:kern w:val="0"/>
                <w:sz w:val="20"/>
                <w:szCs w:val="20"/>
              </w:rPr>
              <w:t>其他</w:t>
            </w:r>
          </w:p>
          <w:p w14:paraId="36E6A536">
            <w:pPr>
              <w:keepNext w:val="0"/>
              <w:keepLines w:val="0"/>
              <w:pageBreakBefore w:val="0"/>
              <w:widowControl/>
              <w:kinsoku/>
              <w:overflowPunct/>
              <w:topLinePunct w:val="0"/>
              <w:autoSpaceDE/>
              <w:autoSpaceDN/>
              <w:bidi w:val="0"/>
              <w:adjustRightInd/>
              <w:snapToGrid/>
              <w:spacing w:line="600" w:lineRule="exact"/>
              <w:ind w:left="-173" w:leftChars="-83" w:right="-134" w:rightChars="-64" w:hanging="1"/>
              <w:jc w:val="center"/>
              <w:textAlignment w:val="auto"/>
              <w:rPr>
                <w:rFonts w:ascii="黑体" w:hAnsi="黑体" w:eastAsia="黑体"/>
                <w:b w:val="0"/>
                <w:bCs w:val="0"/>
              </w:rPr>
            </w:pPr>
            <w:r>
              <w:rPr>
                <w:rFonts w:ascii="黑体" w:hAnsi="黑体" w:eastAsia="黑体"/>
                <w:b w:val="0"/>
                <w:bCs w:val="0"/>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B81F91">
            <w:pPr>
              <w:keepNext w:val="0"/>
              <w:keepLines w:val="0"/>
              <w:pageBreakBefore w:val="0"/>
              <w:widowControl/>
              <w:kinsoku/>
              <w:overflowPunct/>
              <w:topLinePunct w:val="0"/>
              <w:autoSpaceDE/>
              <w:autoSpaceDN/>
              <w:bidi w:val="0"/>
              <w:adjustRightInd/>
              <w:snapToGrid/>
              <w:spacing w:line="600" w:lineRule="exact"/>
              <w:ind w:left="-67" w:leftChars="-33" w:right="-105" w:rightChars="-50" w:hanging="2" w:hangingChars="1"/>
              <w:jc w:val="center"/>
              <w:textAlignment w:val="auto"/>
              <w:rPr>
                <w:rFonts w:ascii="黑体" w:hAnsi="黑体" w:eastAsia="黑体"/>
                <w:b w:val="0"/>
                <w:bCs w:val="0"/>
              </w:rPr>
            </w:pPr>
            <w:r>
              <w:rPr>
                <w:rFonts w:ascii="黑体" w:hAnsi="黑体" w:eastAsia="黑体"/>
                <w:b w:val="0"/>
                <w:bCs w:val="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3CE7E1">
            <w:pPr>
              <w:keepNext w:val="0"/>
              <w:keepLines w:val="0"/>
              <w:pageBreakBefore w:val="0"/>
              <w:widowControl/>
              <w:kinsoku/>
              <w:overflowPunct/>
              <w:topLinePunct w:val="0"/>
              <w:autoSpaceDE/>
              <w:autoSpaceDN/>
              <w:bidi w:val="0"/>
              <w:adjustRightInd/>
              <w:snapToGrid/>
              <w:spacing w:line="600" w:lineRule="exact"/>
              <w:jc w:val="center"/>
              <w:textAlignment w:val="auto"/>
              <w:rPr>
                <w:rFonts w:ascii="黑体" w:hAnsi="黑体" w:eastAsia="黑体"/>
                <w:b w:val="0"/>
                <w:bCs w:val="0"/>
              </w:rPr>
            </w:pPr>
            <w:r>
              <w:rPr>
                <w:rFonts w:ascii="黑体" w:hAnsi="黑体" w:eastAsia="黑体"/>
                <w:b w:val="0"/>
                <w:bCs w:val="0"/>
                <w:kern w:val="0"/>
                <w:sz w:val="20"/>
                <w:szCs w:val="20"/>
              </w:rPr>
              <w:t>总计</w:t>
            </w:r>
          </w:p>
        </w:tc>
      </w:tr>
      <w:tr w14:paraId="61C950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ADAD3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4E5E40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A499007">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D6B2C5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0886263">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AB9E85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936EFB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F885926">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0A11C6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444B930">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37CB5B8">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58373CA">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4FAA45B">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4F5F21D">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A065EC">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Theme="minorEastAsia"/>
                <w:b w:val="0"/>
                <w:bCs w:val="0"/>
                <w:lang w:val="en-US" w:eastAsia="zh-CN"/>
              </w:rPr>
            </w:pPr>
            <w:r>
              <w:rPr>
                <w:rFonts w:hint="eastAsia" w:ascii="Times New Roman" w:hAnsi="Times New Roman"/>
                <w:b w:val="0"/>
                <w:bCs w:val="0"/>
                <w:lang w:val="en-US" w:eastAsia="zh-CN"/>
              </w:rPr>
              <w:t>0</w:t>
            </w:r>
          </w:p>
        </w:tc>
      </w:tr>
    </w:tbl>
    <w:p w14:paraId="36147EDB">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rPr>
        <w:t>政府信息公开工作存在的主要问题及改进情况。</w:t>
      </w:r>
    </w:p>
    <w:p w14:paraId="2490413F">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kern w:val="2"/>
          <w:sz w:val="32"/>
          <w:szCs w:val="32"/>
          <w:shd w:val="clear" w:color="auto" w:fill="FFFFFF"/>
          <w:lang w:val="en-US" w:eastAsia="zh-CN" w:bidi="ar"/>
        </w:rPr>
      </w:pPr>
      <w:r>
        <w:rPr>
          <w:rFonts w:hint="eastAsia" w:ascii="楷体_GB2312" w:hAnsi="楷体_GB2312" w:eastAsia="楷体_GB2312" w:cs="楷体_GB2312"/>
          <w:b w:val="0"/>
          <w:bCs w:val="0"/>
          <w:color w:val="000000"/>
          <w:kern w:val="2"/>
          <w:sz w:val="32"/>
          <w:szCs w:val="32"/>
          <w:shd w:val="clear" w:color="auto" w:fill="FFFFFF"/>
          <w:lang w:val="en-US" w:eastAsia="zh-CN" w:bidi="ar"/>
        </w:rPr>
        <w:t>2025年存在的主要问题</w:t>
      </w:r>
    </w:p>
    <w:p w14:paraId="4C79A961">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微软雅黑"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b w:val="0"/>
          <w:bCs w:val="0"/>
          <w:i w:val="0"/>
          <w:iCs w:val="0"/>
          <w:caps w:val="0"/>
          <w:color w:val="000000"/>
          <w:spacing w:val="0"/>
          <w:kern w:val="2"/>
          <w:sz w:val="32"/>
          <w:szCs w:val="32"/>
          <w:shd w:val="clear" w:fill="FFFFFF"/>
          <w:lang w:val="en-US" w:eastAsia="zh-CN" w:bidi="ar-SA"/>
        </w:rPr>
        <w:t>工作人员业务能力存在短板。虽然营丘镇按照《中华人民共和国政府信息公开条例》和省、市、县政府信息公开要求，将必须公开内容全部公开，但是新上任工作人员对政府信息公开条例及配套政策的理解不够透彻，对公开范围、公开边界的把握不够精准；在信息筛选、审核、解读等环节的专业能力不足，导致部分公开信息存在针对性不强、表述不够规范等问题。</w:t>
      </w:r>
    </w:p>
    <w:p w14:paraId="5B598F06">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kern w:val="2"/>
          <w:sz w:val="32"/>
          <w:szCs w:val="32"/>
          <w:shd w:val="clear" w:color="auto" w:fill="FFFFFF"/>
          <w:lang w:val="en-US" w:eastAsia="zh-CN" w:bidi="ar"/>
        </w:rPr>
      </w:pPr>
      <w:r>
        <w:rPr>
          <w:rFonts w:hint="eastAsia" w:ascii="楷体_GB2312" w:hAnsi="楷体_GB2312" w:eastAsia="楷体_GB2312" w:cs="楷体_GB2312"/>
          <w:b w:val="0"/>
          <w:bCs w:val="0"/>
          <w:color w:val="000000"/>
          <w:kern w:val="2"/>
          <w:sz w:val="32"/>
          <w:szCs w:val="32"/>
          <w:shd w:val="clear" w:color="auto" w:fill="FFFFFF"/>
          <w:lang w:val="en-US" w:eastAsia="zh-CN" w:bidi="ar"/>
        </w:rPr>
        <w:t>改进措施</w:t>
      </w:r>
    </w:p>
    <w:p w14:paraId="659B83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firstLine="640" w:firstLineChars="200"/>
        <w:jc w:val="left"/>
        <w:textAlignment w:val="auto"/>
        <w:rPr>
          <w:rFonts w:hint="eastAsia" w:ascii="仿宋_GB2312" w:hAnsi="微软雅黑"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b w:val="0"/>
          <w:bCs w:val="0"/>
          <w:i w:val="0"/>
          <w:iCs w:val="0"/>
          <w:caps w:val="0"/>
          <w:color w:val="000000"/>
          <w:spacing w:val="0"/>
          <w:kern w:val="2"/>
          <w:sz w:val="32"/>
          <w:szCs w:val="32"/>
          <w:shd w:val="clear" w:fill="FFFFFF"/>
          <w:lang w:val="en-US" w:eastAsia="zh-CN" w:bidi="ar-SA"/>
        </w:rPr>
        <w:t>1、拓宽信息公开维度，强化公开实效。加大政策文件、行政权力运行全过程及群众切身利益相关事项的公开频次与深度，推动政策精准落地、高效见效。持续拓展公开边界，丰富公开内容，切实保障人民群众对营丘镇各项工作的知情权、参与权和监督权。</w:t>
      </w:r>
    </w:p>
    <w:p w14:paraId="6FC105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firstLine="640" w:firstLineChars="200"/>
        <w:jc w:val="left"/>
        <w:textAlignment w:val="auto"/>
        <w:rPr>
          <w:rFonts w:hint="eastAsia" w:ascii="仿宋_GB2312" w:hAnsi="微软雅黑"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b w:val="0"/>
          <w:bCs w:val="0"/>
          <w:i w:val="0"/>
          <w:iCs w:val="0"/>
          <w:caps w:val="0"/>
          <w:color w:val="000000"/>
          <w:spacing w:val="0"/>
          <w:kern w:val="2"/>
          <w:sz w:val="32"/>
          <w:szCs w:val="32"/>
          <w:shd w:val="clear" w:fill="FFFFFF"/>
          <w:lang w:val="en-US" w:eastAsia="zh-CN" w:bidi="ar-SA"/>
        </w:rPr>
        <w:t>2、提质增效开展培训，强化队伍专业能力。定期组织政务公开及政府网站工作人员开展能力提升专题培训，采用集中授课与一对一精准辅导相结合的模式，系统讲解业务知识、实操技能及工作要点，全面夯实业务人员专业功底，提升其履职尽责能力和工作规范化水平。</w:t>
      </w:r>
    </w:p>
    <w:p w14:paraId="7650DA2E">
      <w:pPr>
        <w:pStyle w:val="4"/>
        <w:keepNext w:val="0"/>
        <w:keepLines w:val="0"/>
        <w:pageBreakBefore w:val="0"/>
        <w:widowControl/>
        <w:numPr>
          <w:ilvl w:val="0"/>
          <w:numId w:val="1"/>
        </w:numPr>
        <w:shd w:val="clear" w:color="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shd w:val="clear" w:color="auto" w:fill="FFFFFF"/>
          <w:lang w:val="en-US" w:eastAsia="zh-CN" w:bidi="ar-SA"/>
        </w:rPr>
        <w:t>其他需要报告的事项</w:t>
      </w:r>
    </w:p>
    <w:p w14:paraId="7E9A1E00">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（一）收取信息处理费情况</w:t>
      </w:r>
    </w:p>
    <w:p w14:paraId="5D901792">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2025</w:t>
      </w:r>
      <w:r>
        <w:rPr>
          <w:rFonts w:hint="eastAsia" w:ascii="仿宋_GB2312" w:eastAsia="仿宋_GB2312" w:hAnsiTheme="minorHAnsi" w:cstheme="minorBidi"/>
          <w:b w:val="0"/>
          <w:bCs w:val="0"/>
          <w:kern w:val="2"/>
          <w:sz w:val="32"/>
          <w:szCs w:val="32"/>
          <w:lang w:val="en-US" w:eastAsia="zh-CN" w:bidi="ar-SA"/>
        </w:rPr>
        <w:t>年，营丘镇未收取政府信息公开信息处理费。</w:t>
      </w:r>
    </w:p>
    <w:p w14:paraId="1D673BC6">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（二）上级年度政务公开工作要点落实情况</w:t>
      </w:r>
    </w:p>
    <w:p w14:paraId="02AB48E9">
      <w:pPr>
        <w:pStyle w:val="4"/>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微软雅黑"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微软雅黑" w:eastAsia="仿宋_GB2312" w:cs="仿宋_GB2312"/>
          <w:b w:val="0"/>
          <w:bCs w:val="0"/>
          <w:i w:val="0"/>
          <w:iCs w:val="0"/>
          <w:caps w:val="0"/>
          <w:color w:val="000000"/>
          <w:spacing w:val="0"/>
          <w:kern w:val="2"/>
          <w:sz w:val="32"/>
          <w:szCs w:val="32"/>
          <w:shd w:val="clear" w:fill="FFFFFF"/>
          <w:lang w:val="en-US" w:eastAsia="zh-CN" w:bidi="ar-SA"/>
        </w:rPr>
        <w:t>营丘镇严格落实部署要求，聚焦四大核心方向深化政务公开工作，全力推动各项任务落地见效。一是紧扣经济发展大局强化公开，为辖区经济良性循环与高质量增长筑牢保障；二是紧扣社会和谐稳定主线深化公开，切实守护辖区长治久安；三是紧扣提升公开“含金量”聚焦发力，推动行政决策全程公开透明、规范有序；四是紧扣基础保障提质深化公开，严格规范政务公开全流程操作。截至目前，营丘镇已按要求高标准完成各项政务公开重点工作事项的落实任务。</w:t>
      </w:r>
    </w:p>
    <w:p w14:paraId="67DB871D">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（三）人大代表建议和政协代表提案办理情况</w:t>
      </w:r>
    </w:p>
    <w:p w14:paraId="2C7AD73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cstheme="minorBidi"/>
          <w:b w:val="0"/>
          <w:bCs w:val="0"/>
          <w:kern w:val="2"/>
          <w:sz w:val="32"/>
          <w:szCs w:val="32"/>
          <w:lang w:val="en-US" w:eastAsia="zh-CN" w:bidi="ar-SA"/>
        </w:rPr>
        <w:t>2025</w:t>
      </w:r>
      <w:r>
        <w:rPr>
          <w:rFonts w:hint="eastAsia" w:ascii="仿宋_GB2312" w:eastAsia="仿宋_GB2312" w:hAnsiTheme="minorHAnsi" w:cstheme="minorBidi"/>
          <w:b w:val="0"/>
          <w:bCs w:val="0"/>
          <w:kern w:val="2"/>
          <w:sz w:val="32"/>
          <w:szCs w:val="32"/>
          <w:lang w:val="en-US" w:eastAsia="zh-CN" w:bidi="ar-SA"/>
        </w:rPr>
        <w:t>年，营丘镇全年</w:t>
      </w:r>
      <w:r>
        <w:rPr>
          <w:rFonts w:hint="eastAsia" w:ascii="仿宋_GB2312" w:eastAsia="仿宋_GB2312" w:hAnsiTheme="minorHAnsi" w:cstheme="minorBidi"/>
          <w:b w:val="0"/>
          <w:bCs w:val="0"/>
          <w:kern w:val="2"/>
          <w:sz w:val="32"/>
          <w:szCs w:val="32"/>
          <w:lang w:val="en-US" w:eastAsia="zh-Hans" w:bidi="ar-SA"/>
        </w:rPr>
        <w:t>承办</w:t>
      </w:r>
      <w:r>
        <w:rPr>
          <w:rFonts w:hint="eastAsia" w:ascii="仿宋_GB2312" w:eastAsia="仿宋_GB2312" w:hAnsiTheme="minorHAnsi" w:cstheme="minorBidi"/>
          <w:b w:val="0"/>
          <w:bCs w:val="0"/>
          <w:kern w:val="2"/>
          <w:sz w:val="32"/>
          <w:szCs w:val="32"/>
          <w:lang w:val="en-US" w:eastAsia="zh-CN" w:bidi="ar-SA"/>
        </w:rPr>
        <w:t>人大代表建议</w:t>
      </w:r>
      <w:r>
        <w:rPr>
          <w:rFonts w:hint="eastAsia" w:ascii="仿宋_GB2312" w:eastAsia="仿宋_GB2312" w:cstheme="minorBidi"/>
          <w:b w:val="0"/>
          <w:bCs w:val="0"/>
          <w:kern w:val="2"/>
          <w:sz w:val="32"/>
          <w:szCs w:val="32"/>
          <w:lang w:val="en-US" w:eastAsia="zh-CN" w:bidi="ar-SA"/>
        </w:rPr>
        <w:t>7</w:t>
      </w:r>
      <w:r>
        <w:rPr>
          <w:rFonts w:hint="eastAsia" w:ascii="仿宋_GB2312" w:eastAsia="仿宋_GB2312" w:hAnsiTheme="minorHAnsi" w:cstheme="minorBidi"/>
          <w:b w:val="0"/>
          <w:bCs w:val="0"/>
          <w:kern w:val="2"/>
          <w:sz w:val="32"/>
          <w:szCs w:val="32"/>
          <w:lang w:val="en-US" w:eastAsia="zh-CN" w:bidi="ar-SA"/>
        </w:rPr>
        <w:t>件</w:t>
      </w:r>
      <w:r>
        <w:rPr>
          <w:rFonts w:hint="default" w:ascii="仿宋_GB2312" w:eastAsia="仿宋_GB2312" w:hAnsiTheme="minorHAnsi" w:cstheme="minorBidi"/>
          <w:b w:val="0"/>
          <w:bCs w:val="0"/>
          <w:kern w:val="2"/>
          <w:sz w:val="32"/>
          <w:szCs w:val="32"/>
          <w:lang w:val="en-US" w:eastAsia="zh-CN" w:bidi="ar-SA"/>
        </w:rPr>
        <w:t>，</w:t>
      </w:r>
      <w:r>
        <w:rPr>
          <w:rFonts w:hint="eastAsia" w:ascii="仿宋_GB2312" w:eastAsia="仿宋_GB2312" w:hAnsiTheme="minorHAnsi" w:cstheme="minorBidi"/>
          <w:b w:val="0"/>
          <w:bCs w:val="0"/>
          <w:kern w:val="2"/>
          <w:sz w:val="32"/>
          <w:szCs w:val="32"/>
          <w:lang w:val="en-US" w:eastAsia="zh-CN" w:bidi="ar-SA"/>
        </w:rPr>
        <w:t>承办政协提案0条，面复率、满意率均达到100%</w:t>
      </w:r>
      <w:r>
        <w:rPr>
          <w:rFonts w:hint="default" w:ascii="仿宋_GB2312" w:eastAsia="仿宋_GB2312" w:hAnsiTheme="minorHAnsi" w:cstheme="minorBidi"/>
          <w:b w:val="0"/>
          <w:bCs w:val="0"/>
          <w:kern w:val="2"/>
          <w:sz w:val="32"/>
          <w:szCs w:val="32"/>
          <w:lang w:val="en-US" w:eastAsia="zh-CN" w:bidi="ar-SA"/>
        </w:rPr>
        <w:t>。</w:t>
      </w:r>
      <w:r>
        <w:rPr>
          <w:rFonts w:hint="eastAsia" w:ascii="仿宋_GB2312" w:eastAsia="仿宋_GB2312" w:hAnsiTheme="minorHAnsi" w:cstheme="minorBidi"/>
          <w:b w:val="0"/>
          <w:bCs w:val="0"/>
          <w:kern w:val="2"/>
          <w:sz w:val="32"/>
          <w:szCs w:val="32"/>
          <w:lang w:val="en-US" w:eastAsia="zh-Hans" w:bidi="ar-SA"/>
        </w:rPr>
        <w:t>承办</w:t>
      </w:r>
      <w:r>
        <w:rPr>
          <w:rFonts w:hint="default" w:ascii="仿宋_GB2312" w:eastAsia="仿宋_GB2312" w:hAnsiTheme="minorHAnsi" w:cstheme="minorBidi"/>
          <w:b w:val="0"/>
          <w:bCs w:val="0"/>
          <w:kern w:val="2"/>
          <w:sz w:val="32"/>
          <w:szCs w:val="32"/>
          <w:lang w:val="en-US" w:eastAsia="zh-Hans" w:bidi="ar-SA"/>
        </w:rPr>
        <w:t>、</w:t>
      </w:r>
      <w:r>
        <w:rPr>
          <w:rFonts w:hint="eastAsia" w:ascii="仿宋_GB2312" w:eastAsia="仿宋_GB2312" w:hAnsiTheme="minorHAnsi" w:cstheme="minorBidi"/>
          <w:b w:val="0"/>
          <w:bCs w:val="0"/>
          <w:kern w:val="2"/>
          <w:sz w:val="32"/>
          <w:szCs w:val="32"/>
          <w:lang w:val="en-US" w:eastAsia="zh-Hans" w:bidi="ar-SA"/>
        </w:rPr>
        <w:t>办理情况</w:t>
      </w:r>
      <w:r>
        <w:rPr>
          <w:rFonts w:hint="eastAsia" w:ascii="仿宋_GB2312" w:eastAsia="仿宋_GB2312" w:hAnsiTheme="minorHAnsi" w:cstheme="minorBidi"/>
          <w:b w:val="0"/>
          <w:bCs w:val="0"/>
          <w:kern w:val="2"/>
          <w:sz w:val="32"/>
          <w:szCs w:val="32"/>
          <w:lang w:val="en-US" w:eastAsia="zh-CN" w:bidi="ar-SA"/>
        </w:rPr>
        <w:t>通过政府网站进行了公开。</w:t>
      </w:r>
    </w:p>
    <w:p w14:paraId="7E5B7C93">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（四）年度政务公开工作创新情况</w:t>
      </w:r>
    </w:p>
    <w:p w14:paraId="61A9A10D">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组织 “政府开放月” 活动，畅通政民沟通渠道，让信息公开更接地气，切实提高政务工作透明度，推动政务公开下沉基层。</w:t>
      </w:r>
    </w:p>
    <w:p w14:paraId="37FC8BAE">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（五）报告数据统计说明</w:t>
      </w:r>
    </w:p>
    <w:p w14:paraId="64B6038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本报告所列数据统计期限为</w:t>
      </w:r>
      <w:r>
        <w:rPr>
          <w:rFonts w:hint="eastAsia" w:ascii="仿宋_GB2312" w:eastAsia="仿宋_GB2312" w:cstheme="minorBidi"/>
          <w:b w:val="0"/>
          <w:bCs w:val="0"/>
          <w:kern w:val="2"/>
          <w:sz w:val="32"/>
          <w:szCs w:val="32"/>
          <w:lang w:val="en-US" w:eastAsia="zh-CN" w:bidi="ar-SA"/>
        </w:rPr>
        <w:t>2025</w:t>
      </w:r>
      <w:r>
        <w:rPr>
          <w:rFonts w:hint="eastAsia" w:ascii="仿宋_GB2312" w:eastAsia="仿宋_GB2312" w:hAnsiTheme="minorHAnsi" w:cstheme="minorBidi"/>
          <w:b w:val="0"/>
          <w:bCs w:val="0"/>
          <w:kern w:val="2"/>
          <w:sz w:val="32"/>
          <w:szCs w:val="32"/>
          <w:lang w:val="en-US" w:eastAsia="zh-CN" w:bidi="ar-SA"/>
        </w:rPr>
        <w:t>年1月1日至12月31日。</w:t>
      </w:r>
    </w:p>
    <w:p w14:paraId="2FCA3AE2">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（六）本行政机关认为需要报告的其他事项</w:t>
      </w:r>
    </w:p>
    <w:p w14:paraId="4CC9243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无。</w:t>
      </w:r>
    </w:p>
    <w:p w14:paraId="5A16D1A8">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bidi="ar-SA"/>
        </w:rPr>
      </w:pPr>
      <w:bookmarkStart w:id="10" w:name="_GoBack"/>
      <w:r>
        <w:rPr>
          <w:rFonts w:hint="eastAsia" w:ascii="楷体_GB2312" w:hAnsi="楷体_GB2312" w:eastAsia="楷体_GB2312" w:cs="楷体_GB2312"/>
          <w:b w:val="0"/>
          <w:bCs w:val="0"/>
          <w:kern w:val="2"/>
          <w:sz w:val="32"/>
          <w:szCs w:val="32"/>
          <w:lang w:val="en-US" w:eastAsia="zh-CN" w:bidi="ar-SA"/>
        </w:rPr>
        <w:t>（七）其他有关文件专门要求报告的事项</w:t>
      </w:r>
    </w:p>
    <w:bookmarkEnd w:id="10"/>
    <w:p w14:paraId="4D86F14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无。</w:t>
      </w:r>
    </w:p>
    <w:p w14:paraId="705B7F32">
      <w:pPr>
        <w:keepNext w:val="0"/>
        <w:keepLines w:val="0"/>
        <w:pageBreakBefore w:val="0"/>
        <w:kinsoku/>
        <w:overflowPunct/>
        <w:topLinePunct w:val="0"/>
        <w:autoSpaceDE/>
        <w:autoSpaceDN/>
        <w:bidi w:val="0"/>
        <w:adjustRightInd/>
        <w:snapToGrid/>
        <w:spacing w:line="600" w:lineRule="exact"/>
        <w:textAlignment w:val="auto"/>
        <w:rPr>
          <w:rFonts w:ascii="仿宋_GB2312" w:eastAsia="仿宋_GB2312"/>
          <w:b w:val="0"/>
          <w:bCs w:val="0"/>
          <w:sz w:val="32"/>
          <w:szCs w:val="32"/>
        </w:rPr>
      </w:pPr>
    </w:p>
    <w:p w14:paraId="3637CC90">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p>
    <w:p w14:paraId="60A4C347">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right="0"/>
        <w:jc w:val="right"/>
        <w:textAlignment w:val="auto"/>
        <w:outlineLvl w:val="9"/>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昌乐县</w:t>
      </w:r>
      <w:r>
        <w:rPr>
          <w:rFonts w:hint="eastAsia" w:ascii="仿宋_GB2312" w:hAnsi="仿宋_GB2312" w:eastAsia="仿宋_GB2312" w:cs="仿宋_GB2312"/>
          <w:b w:val="0"/>
          <w:bCs w:val="0"/>
          <w:color w:val="000000"/>
          <w:sz w:val="32"/>
          <w:szCs w:val="32"/>
          <w:shd w:val="clear" w:color="auto" w:fill="FFFFFF"/>
        </w:rPr>
        <w:t>营丘镇</w:t>
      </w:r>
      <w:r>
        <w:rPr>
          <w:rFonts w:hint="eastAsia" w:ascii="仿宋_GB2312" w:hAnsi="仿宋_GB2312" w:eastAsia="仿宋_GB2312" w:cs="仿宋_GB2312"/>
          <w:b w:val="0"/>
          <w:bCs w:val="0"/>
          <w:color w:val="000000"/>
          <w:sz w:val="32"/>
          <w:szCs w:val="32"/>
          <w:shd w:val="clear" w:color="auto" w:fill="FFFFFF"/>
          <w:lang w:val="en-US" w:eastAsia="zh-CN"/>
        </w:rPr>
        <w:t>人民政府</w:t>
      </w:r>
    </w:p>
    <w:p w14:paraId="310AAC55">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right="0"/>
        <w:jc w:val="right"/>
        <w:textAlignment w:val="auto"/>
        <w:outlineLvl w:val="9"/>
        <w:rPr>
          <w:rFonts w:ascii="仿宋_GB2312" w:eastAsia="仿宋_GB2312"/>
          <w:b w:val="0"/>
          <w:bCs w:val="0"/>
          <w:sz w:val="32"/>
          <w:szCs w:val="32"/>
        </w:rPr>
      </w:pPr>
      <w:r>
        <w:rPr>
          <w:rFonts w:hint="eastAsia" w:ascii="仿宋_GB2312" w:hAnsi="仿宋_GB2312" w:eastAsia="仿宋_GB2312" w:cs="仿宋_GB2312"/>
          <w:b w:val="0"/>
          <w:bCs w:val="0"/>
          <w:color w:val="000000"/>
          <w:sz w:val="32"/>
          <w:szCs w:val="32"/>
          <w:shd w:val="clear" w:color="auto" w:fill="FFFFFF"/>
        </w:rPr>
        <w:t>202</w:t>
      </w:r>
      <w:r>
        <w:rPr>
          <w:rFonts w:hint="eastAsia" w:ascii="仿宋_GB2312" w:hAnsi="仿宋_GB2312" w:eastAsia="仿宋_GB2312" w:cs="仿宋_GB2312"/>
          <w:b w:val="0"/>
          <w:bCs w:val="0"/>
          <w:color w:val="000000"/>
          <w:sz w:val="32"/>
          <w:szCs w:val="32"/>
          <w:shd w:val="clear" w:color="auto" w:fill="FFFFFF"/>
          <w:lang w:val="en-US" w:eastAsia="zh-CN"/>
        </w:rPr>
        <w:t>6</w:t>
      </w:r>
      <w:r>
        <w:rPr>
          <w:rFonts w:hint="eastAsia" w:ascii="仿宋_GB2312" w:hAnsi="仿宋_GB2312" w:eastAsia="仿宋_GB2312" w:cs="仿宋_GB2312"/>
          <w:b w:val="0"/>
          <w:bCs w:val="0"/>
          <w:color w:val="000000"/>
          <w:sz w:val="32"/>
          <w:szCs w:val="32"/>
          <w:shd w:val="clear" w:color="auto" w:fill="FFFFFF"/>
        </w:rPr>
        <w:t>年1月</w:t>
      </w:r>
      <w:r>
        <w:rPr>
          <w:rFonts w:hint="default" w:ascii="仿宋_GB2312" w:hAnsi="仿宋_GB2312" w:eastAsia="仿宋_GB2312" w:cs="仿宋_GB2312"/>
          <w:b w:val="0"/>
          <w:bCs w:val="0"/>
          <w:color w:val="000000"/>
          <w:sz w:val="32"/>
          <w:szCs w:val="32"/>
          <w:shd w:val="clear" w:color="auto" w:fill="FFFFFF"/>
          <w:lang w:eastAsia="zh-CN"/>
        </w:rPr>
        <w:t>1</w:t>
      </w:r>
      <w:r>
        <w:rPr>
          <w:rFonts w:hint="eastAsia" w:ascii="仿宋_GB2312" w:hAnsi="仿宋_GB2312" w:eastAsia="仿宋_GB2312" w:cs="仿宋_GB2312"/>
          <w:b w:val="0"/>
          <w:bCs w:val="0"/>
          <w:color w:val="000000"/>
          <w:sz w:val="32"/>
          <w:szCs w:val="32"/>
          <w:shd w:val="clear" w:color="auto" w:fill="FFFFFF"/>
          <w:lang w:val="en-US" w:eastAsia="zh-CN"/>
        </w:rPr>
        <w:t>5</w:t>
      </w:r>
      <w:r>
        <w:rPr>
          <w:rFonts w:hint="eastAsia" w:ascii="仿宋_GB2312" w:hAnsi="仿宋_GB2312" w:eastAsia="仿宋_GB2312" w:cs="仿宋_GB2312"/>
          <w:b w:val="0"/>
          <w:bCs w:val="0"/>
          <w:color w:val="000000"/>
          <w:sz w:val="32"/>
          <w:szCs w:val="32"/>
          <w:shd w:val="clear" w:color="auto" w:fill="FFFFFF"/>
        </w:rPr>
        <w:t>日</w:t>
      </w:r>
    </w:p>
    <w:p w14:paraId="5F654D98">
      <w:pPr>
        <w:keepNext w:val="0"/>
        <w:keepLines w:val="0"/>
        <w:pageBreakBefore w:val="0"/>
        <w:kinsoku/>
        <w:overflowPunct/>
        <w:topLinePunct w:val="0"/>
        <w:autoSpaceDE/>
        <w:autoSpaceDN/>
        <w:bidi w:val="0"/>
        <w:adjustRightInd/>
        <w:snapToGrid/>
        <w:spacing w:line="600" w:lineRule="exact"/>
        <w:textAlignment w:val="auto"/>
        <w:rPr>
          <w:b w:val="0"/>
          <w:bCs w:val="0"/>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E894">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14:paraId="66AA1770">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1D8B8184">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14:paraId="66AA1770">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1D8B8184">
                    <w:pPr>
                      <w:rPr>
                        <w:rFonts w:ascii="宋体" w:hAnsi="宋体" w:eastAsia="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26E74"/>
    <w:multiLevelType w:val="singleLevel"/>
    <w:tmpl w:val="19E26E7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7E64"/>
    <w:rsid w:val="04307138"/>
    <w:rsid w:val="19A54B21"/>
    <w:rsid w:val="1B2F67F1"/>
    <w:rsid w:val="211F2860"/>
    <w:rsid w:val="2A6D1762"/>
    <w:rsid w:val="43B12737"/>
    <w:rsid w:val="44D72DF7"/>
    <w:rsid w:val="7B383358"/>
    <w:rsid w:val="7C4C6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cs="Times New Roman"/>
      <w:b/>
      <w:bCs/>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3016</Words>
  <Characters>3101</Characters>
  <Lines>0</Lines>
  <Paragraphs>0</Paragraphs>
  <TotalTime>99</TotalTime>
  <ScaleCrop>false</ScaleCrop>
  <LinksUpToDate>false</LinksUpToDate>
  <CharactersWithSpaces>3103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2026-01-15T02:32:00Z</dcterms:created>
  <dc:creator>Administrator</dc:creator>
  <cp:lastModifiedBy>AA</cp:lastModifiedBy>
  <dcterms:modified xsi:type="dcterms:W3CDTF">2026-01-20T08:01:06Z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eyJoZGlkIjoiZWMyNzdmNzczOTliOGFmYmM2YjUwNmEzNjI4ZjQ2NzQiLCJ1c2VySWQiOiIzMDkxNzU4MTIifQ==</vt:lpwstr>
  </property>
  <property fmtid="{D5CDD505-2E9C-101B-9397-08002B2CF9AE}" pid="4" name="ICV">
    <vt:lpwstr>D42B09B633794ED997D549D0A598E79F_13</vt:lpwstr>
  </property>
</Properties>
</file>