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文星标宋" w:hAnsi="文星标宋" w:eastAsia="文星标宋" w:cs="文星标宋"/>
          <w:i w:val="0"/>
          <w:caps w:val="0"/>
          <w:color w:val="000000"/>
          <w:spacing w:val="0"/>
          <w:kern w:val="0"/>
          <w:sz w:val="44"/>
          <w:szCs w:val="44"/>
          <w:lang w:val="en-US" w:eastAsia="zh-CN" w:bidi="ar"/>
        </w:rPr>
      </w:pPr>
      <w:r>
        <w:rPr>
          <w:rFonts w:hint="eastAsia" w:ascii="文星标宋" w:hAnsi="文星标宋" w:eastAsia="文星标宋" w:cs="文星标宋"/>
          <w:i w:val="0"/>
          <w:caps w:val="0"/>
          <w:color w:val="000000"/>
          <w:spacing w:val="0"/>
          <w:kern w:val="0"/>
          <w:sz w:val="44"/>
          <w:szCs w:val="44"/>
          <w:lang w:val="en-US" w:eastAsia="zh-CN" w:bidi="ar"/>
        </w:rPr>
        <w:t>朱刘街道2019年政府信息公开工作</w:t>
      </w:r>
    </w:p>
    <w:p>
      <w:pPr>
        <w:keepNext w:val="0"/>
        <w:keepLines w:val="0"/>
        <w:widowControl/>
        <w:suppressLineNumbers w:val="0"/>
        <w:jc w:val="center"/>
        <w:rPr>
          <w:rFonts w:hint="eastAsia" w:ascii="文星标宋" w:hAnsi="文星标宋" w:eastAsia="文星标宋" w:cs="文星标宋"/>
          <w:i w:val="0"/>
          <w:caps w:val="0"/>
          <w:color w:val="000000"/>
          <w:spacing w:val="0"/>
          <w:kern w:val="0"/>
          <w:sz w:val="44"/>
          <w:szCs w:val="44"/>
          <w:lang w:val="en-US" w:eastAsia="zh-CN" w:bidi="ar"/>
        </w:rPr>
      </w:pPr>
      <w:r>
        <w:rPr>
          <w:rFonts w:hint="eastAsia" w:ascii="文星标宋" w:hAnsi="文星标宋" w:eastAsia="文星标宋" w:cs="文星标宋"/>
          <w:i w:val="0"/>
          <w:caps w:val="0"/>
          <w:color w:val="000000"/>
          <w:spacing w:val="0"/>
          <w:kern w:val="0"/>
          <w:sz w:val="44"/>
          <w:szCs w:val="44"/>
          <w:lang w:val="en-US" w:eastAsia="zh-CN" w:bidi="ar"/>
        </w:rPr>
        <w:t>年度报告</w:t>
      </w:r>
    </w:p>
    <w:p>
      <w:pPr>
        <w:keepNext w:val="0"/>
        <w:keepLines w:val="0"/>
        <w:widowControl/>
        <w:suppressLineNumbers w:val="0"/>
        <w:jc w:val="left"/>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根据《中华人民共和国政府信息公开条例》、《山东省政府信息公开办法》和市、县人民政府关于做好政府信息公开工作的有关规定和要求，现公布2019年度朱刘街道办事处政府信息公开工作年度报告。本报告是根据《条例》要求编制而成，报告中所列数据的统计期限为2019年1月1日至2019年12月31日。</w:t>
      </w:r>
    </w:p>
    <w:p>
      <w:pPr>
        <w:keepNext w:val="0"/>
        <w:keepLines w:val="0"/>
        <w:widowControl/>
        <w:suppressLineNumbers w:val="0"/>
        <w:jc w:val="left"/>
        <w:rPr>
          <w:rFonts w:ascii="黑体" w:hAnsi="宋体" w:eastAsia="黑体" w:cs="黑体"/>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全文包括总体情况、主动公开政府信息情况、收到和处理政府信息公开申请情况、政府信息公开行政复议、行政诉讼情况、存在的主要问题及改进情况、其他需要报告的事项等六项内容。如对本年度报告有疑问，请联系：朱刘街道办事处，联系电话：0536-6711106。</w:t>
      </w:r>
    </w:p>
    <w:p>
      <w:pPr>
        <w:keepNext w:val="0"/>
        <w:keepLines w:val="0"/>
        <w:widowControl/>
        <w:suppressLineNumbers w:val="0"/>
        <w:jc w:val="left"/>
      </w:pPr>
      <w:r>
        <w:rPr>
          <w:rFonts w:ascii="黑体" w:hAnsi="宋体" w:eastAsia="黑体" w:cs="黑体"/>
          <w:i w:val="0"/>
          <w:caps w:val="0"/>
          <w:color w:val="000000"/>
          <w:spacing w:val="0"/>
          <w:kern w:val="0"/>
          <w:sz w:val="32"/>
          <w:szCs w:val="32"/>
          <w:lang w:val="en-US" w:eastAsia="zh-CN" w:bidi="ar"/>
        </w:rPr>
        <w:t>一、总体情况</w:t>
      </w:r>
    </w:p>
    <w:p>
      <w:pPr>
        <w:pStyle w:val="2"/>
        <w:keepNext w:val="0"/>
        <w:keepLines w:val="0"/>
        <w:widowControl/>
        <w:suppressLineNumbers w:val="0"/>
        <w:spacing w:before="0" w:beforeAutospacing="0" w:after="240" w:afterAutospacing="0" w:line="15" w:lineRule="atLeast"/>
        <w:ind w:left="0" w:right="0" w:firstLine="640"/>
        <w:jc w:val="both"/>
        <w:rPr>
          <w:rFonts w:hint="eastAsia" w:ascii="仿宋_GB2312" w:hAnsi="宋体" w:eastAsia="仿宋_GB2312" w:cs="仿宋_GB2312"/>
          <w:i w:val="0"/>
          <w:caps w:val="0"/>
          <w:color w:val="000000"/>
          <w:spacing w:val="0"/>
          <w:kern w:val="0"/>
          <w:sz w:val="32"/>
          <w:szCs w:val="32"/>
          <w:lang w:val="en-US" w:eastAsia="zh-CN" w:bidi="ar"/>
        </w:rPr>
      </w:pPr>
      <w:r>
        <w:rPr>
          <w:rFonts w:hint="eastAsia" w:ascii="仿宋_GB2312" w:hAnsi="宋体" w:eastAsia="仿宋_GB2312" w:cs="仿宋_GB2312"/>
          <w:i w:val="0"/>
          <w:caps w:val="0"/>
          <w:color w:val="000000"/>
          <w:spacing w:val="0"/>
          <w:kern w:val="0"/>
          <w:sz w:val="32"/>
          <w:szCs w:val="32"/>
          <w:lang w:val="en-US" w:eastAsia="zh-CN" w:bidi="ar"/>
        </w:rPr>
        <w:t>2019年，朱刘街道坚持以习近平新时代中国特色社会主义思想和“不忘初心、牢记使命”主题教育精神为指引，按</w:t>
      </w:r>
      <w:bookmarkStart w:id="0" w:name="_GoBack"/>
      <w:bookmarkEnd w:id="0"/>
      <w:r>
        <w:rPr>
          <w:rFonts w:hint="eastAsia" w:ascii="仿宋_GB2312" w:hAnsi="宋体" w:eastAsia="仿宋_GB2312" w:cs="仿宋_GB2312"/>
          <w:i w:val="0"/>
          <w:caps w:val="0"/>
          <w:color w:val="000000"/>
          <w:spacing w:val="0"/>
          <w:kern w:val="0"/>
          <w:sz w:val="32"/>
          <w:szCs w:val="32"/>
          <w:lang w:val="en-US" w:eastAsia="zh-CN" w:bidi="ar"/>
        </w:rPr>
        <w:t>照按照《条例》和昌乐县政府信息公开工作的统一部署和要求，结合街道工作实际，大力推进政府信息公开机构建设，不断规范政府信息公开制度，提高政府信息水平，有效保障公民的知情权、参与权和监督权，促进服务型政府建设发挥了重要作用。</w:t>
      </w:r>
    </w:p>
    <w:p>
      <w:pPr>
        <w:pStyle w:val="2"/>
        <w:keepNext w:val="0"/>
        <w:keepLines w:val="0"/>
        <w:widowControl/>
        <w:numPr>
          <w:ilvl w:val="0"/>
          <w:numId w:val="1"/>
        </w:numPr>
        <w:suppressLineNumbers w:val="0"/>
        <w:spacing w:before="0" w:beforeAutospacing="0" w:after="240" w:afterAutospacing="0" w:line="15" w:lineRule="atLeast"/>
        <w:ind w:left="0" w:right="0" w:firstLine="640"/>
        <w:jc w:val="both"/>
        <w:rPr>
          <w:rFonts w:hint="eastAsia" w:ascii="仿宋_GB2312" w:hAnsi="宋体" w:eastAsia="仿宋_GB2312" w:cs="仿宋_GB2312"/>
          <w:i w:val="0"/>
          <w:caps w:val="0"/>
          <w:color w:val="000000"/>
          <w:spacing w:val="0"/>
          <w:kern w:val="0"/>
          <w:sz w:val="32"/>
          <w:szCs w:val="32"/>
          <w:lang w:val="en-US" w:eastAsia="zh-CN" w:bidi="ar"/>
        </w:rPr>
      </w:pPr>
      <w:r>
        <w:rPr>
          <w:rFonts w:hint="eastAsia" w:ascii="仿宋_GB2312" w:hAnsi="宋体" w:eastAsia="仿宋_GB2312" w:cs="仿宋_GB2312"/>
          <w:i w:val="0"/>
          <w:caps w:val="0"/>
          <w:color w:val="000000"/>
          <w:spacing w:val="0"/>
          <w:kern w:val="0"/>
          <w:sz w:val="32"/>
          <w:szCs w:val="32"/>
          <w:lang w:val="en-US" w:eastAsia="zh-CN" w:bidi="ar"/>
        </w:rPr>
        <w:t>主动公开情况。 2019年，朱刘街道通过门户网站、各类信息公开栏、媒体宣传等形式主动公开政府信息共计390条，其中，主动公开工作信息数81条，政府工作报告推进情况3条，微信公开政府信息数309条，内容主要涵盖政府工作方案、政府公告公示、城镇规划、招商引资、安全监察、综治维稳、惠农便民政策、生态环保、教育和社会保障等方面。另外，街道加快完善升级改造政府信息公开系统平台，不断修订完善自身政府信息平台栏目和目录，进一步充实面向企业、公众的各类办事指南和服务类信息，不断充实和完善主动公开信息内容，力争打造一流的政府信息公开平台。</w:t>
      </w:r>
    </w:p>
    <w:p>
      <w:pPr>
        <w:pStyle w:val="2"/>
        <w:keepNext w:val="0"/>
        <w:keepLines w:val="0"/>
        <w:widowControl/>
        <w:numPr>
          <w:ilvl w:val="0"/>
          <w:numId w:val="0"/>
        </w:numPr>
        <w:suppressLineNumbers w:val="0"/>
        <w:spacing w:before="0" w:beforeAutospacing="0" w:after="240" w:afterAutospacing="0" w:line="15" w:lineRule="atLeast"/>
        <w:ind w:right="0" w:rightChars="0"/>
        <w:jc w:val="both"/>
        <w:rPr>
          <w:rFonts w:hint="eastAsia" w:ascii="仿宋_GB2312" w:hAnsi="宋体" w:eastAsia="仿宋_GB2312" w:cs="仿宋_GB2312"/>
          <w:i w:val="0"/>
          <w:caps w:val="0"/>
          <w:color w:val="000000"/>
          <w:spacing w:val="0"/>
          <w:kern w:val="0"/>
          <w:sz w:val="32"/>
          <w:szCs w:val="32"/>
          <w:lang w:val="en-US" w:eastAsia="zh-CN" w:bidi="ar"/>
        </w:rPr>
      </w:pPr>
      <w:r>
        <w:rPr>
          <w:rFonts w:hint="eastAsia" w:ascii="仿宋_GB2312" w:hAnsi="宋体" w:eastAsia="仿宋_GB2312" w:cs="仿宋_GB2312"/>
          <w:i w:val="0"/>
          <w:caps w:val="0"/>
          <w:color w:val="000000"/>
          <w:spacing w:val="0"/>
          <w:kern w:val="0"/>
          <w:sz w:val="32"/>
          <w:szCs w:val="32"/>
          <w:lang w:val="en-US" w:eastAsia="zh-CN" w:bidi="ar"/>
        </w:rPr>
        <w:t>及时在朱刘街道网站发布政策解读信息，便于企业及群众及时了解最新政策。2019年通过民生热线回复提问43条，及时联系解决社会公众在市长热线的提问，每一条都做到有问必答。另外，积极创新形式，开通朱刘街道官方微信，围绕招商引资、重点项目、脱贫攻坚等重点工作，通过手机微信客户端发布信息及新闻资讯309条，为公众提供权威、准确、及时的新闻资讯。</w:t>
      </w:r>
    </w:p>
    <w:p>
      <w:pPr>
        <w:pStyle w:val="2"/>
        <w:keepNext w:val="0"/>
        <w:keepLines w:val="0"/>
        <w:widowControl/>
        <w:suppressLineNumbers w:val="0"/>
        <w:spacing w:before="0" w:beforeAutospacing="0" w:after="240" w:afterAutospacing="0" w:line="15" w:lineRule="atLeast"/>
        <w:ind w:left="0" w:right="0" w:firstLine="640"/>
        <w:jc w:val="both"/>
        <w:rPr>
          <w:rFonts w:hint="eastAsia" w:ascii="仿宋_GB2312" w:hAnsi="宋体" w:eastAsia="仿宋_GB2312" w:cs="仿宋_GB2312"/>
          <w:i w:val="0"/>
          <w:caps w:val="0"/>
          <w:color w:val="000000"/>
          <w:spacing w:val="0"/>
          <w:kern w:val="0"/>
          <w:sz w:val="32"/>
          <w:szCs w:val="32"/>
          <w:lang w:val="en-US" w:eastAsia="zh-CN" w:bidi="ar"/>
        </w:rPr>
      </w:pPr>
      <w:r>
        <w:rPr>
          <w:rFonts w:hint="eastAsia" w:ascii="仿宋_GB2312" w:hAnsi="宋体" w:eastAsia="仿宋_GB2312" w:cs="仿宋_GB2312"/>
          <w:i w:val="0"/>
          <w:caps w:val="0"/>
          <w:color w:val="000000"/>
          <w:spacing w:val="0"/>
          <w:kern w:val="0"/>
          <w:sz w:val="32"/>
          <w:szCs w:val="32"/>
          <w:lang w:val="en-US" w:eastAsia="zh-CN" w:bidi="ar"/>
        </w:rPr>
        <w:t xml:space="preserve"> （二）依申请公开情况。无依申请公开</w:t>
      </w:r>
    </w:p>
    <w:p>
      <w:pPr>
        <w:pStyle w:val="2"/>
        <w:keepNext w:val="0"/>
        <w:keepLines w:val="0"/>
        <w:widowControl/>
        <w:suppressLineNumbers w:val="0"/>
        <w:spacing w:before="0" w:beforeAutospacing="0" w:after="240" w:afterAutospacing="0" w:line="15" w:lineRule="atLeast"/>
        <w:ind w:left="0" w:right="0" w:firstLine="640"/>
        <w:jc w:val="both"/>
        <w:rPr>
          <w:rFonts w:hint="eastAsia" w:ascii="仿宋_GB2312" w:hAnsi="宋体" w:eastAsia="仿宋_GB2312" w:cs="仿宋_GB2312"/>
          <w:i w:val="0"/>
          <w:caps w:val="0"/>
          <w:color w:val="000000"/>
          <w:spacing w:val="0"/>
          <w:kern w:val="0"/>
          <w:sz w:val="32"/>
          <w:szCs w:val="32"/>
          <w:lang w:val="en-US" w:eastAsia="zh-CN" w:bidi="ar"/>
        </w:rPr>
      </w:pPr>
    </w:p>
    <w:p>
      <w:pPr>
        <w:pStyle w:val="2"/>
        <w:keepNext w:val="0"/>
        <w:keepLines w:val="0"/>
        <w:widowControl/>
        <w:numPr>
          <w:ilvl w:val="0"/>
          <w:numId w:val="1"/>
        </w:numPr>
        <w:suppressLineNumbers w:val="0"/>
        <w:spacing w:before="0" w:beforeAutospacing="0" w:after="240" w:afterAutospacing="0" w:line="15" w:lineRule="atLeast"/>
        <w:ind w:left="0" w:leftChars="0" w:right="0" w:firstLine="640" w:firstLineChars="0"/>
        <w:jc w:val="both"/>
        <w:rPr>
          <w:rFonts w:hint="eastAsia" w:ascii="仿宋_GB2312" w:hAnsi="宋体" w:eastAsia="仿宋_GB2312" w:cs="仿宋_GB2312"/>
          <w:i w:val="0"/>
          <w:caps w:val="0"/>
          <w:color w:val="000000"/>
          <w:spacing w:val="0"/>
          <w:kern w:val="0"/>
          <w:sz w:val="32"/>
          <w:szCs w:val="32"/>
          <w:lang w:val="en-US" w:eastAsia="zh-CN" w:bidi="ar"/>
        </w:rPr>
      </w:pPr>
      <w:r>
        <w:rPr>
          <w:rFonts w:hint="eastAsia" w:ascii="仿宋_GB2312" w:hAnsi="宋体" w:eastAsia="仿宋_GB2312" w:cs="仿宋_GB2312"/>
          <w:i w:val="0"/>
          <w:caps w:val="0"/>
          <w:color w:val="000000"/>
          <w:spacing w:val="0"/>
          <w:kern w:val="0"/>
          <w:sz w:val="32"/>
          <w:szCs w:val="32"/>
          <w:lang w:val="en-US" w:eastAsia="zh-CN" w:bidi="ar"/>
        </w:rPr>
        <w:t>政府信息管理情况。</w:t>
      </w:r>
    </w:p>
    <w:p>
      <w:pPr>
        <w:pStyle w:val="2"/>
        <w:keepNext w:val="0"/>
        <w:keepLines w:val="0"/>
        <w:widowControl/>
        <w:numPr>
          <w:ilvl w:val="0"/>
          <w:numId w:val="0"/>
        </w:numPr>
        <w:suppressLineNumbers w:val="0"/>
        <w:spacing w:before="0" w:beforeAutospacing="0" w:after="240" w:afterAutospacing="0" w:line="15" w:lineRule="atLeast"/>
        <w:ind w:right="0" w:rightChars="0"/>
        <w:jc w:val="both"/>
        <w:rPr>
          <w:rFonts w:hint="eastAsia" w:ascii="仿宋_GB2312" w:hAnsi="宋体" w:eastAsia="仿宋_GB2312" w:cs="仿宋_GB2312"/>
          <w:i w:val="0"/>
          <w:caps w:val="0"/>
          <w:color w:val="000000"/>
          <w:spacing w:val="0"/>
          <w:kern w:val="0"/>
          <w:sz w:val="32"/>
          <w:szCs w:val="32"/>
          <w:lang w:val="en-US" w:eastAsia="zh-CN" w:bidi="ar"/>
        </w:rPr>
      </w:pPr>
      <w:r>
        <w:rPr>
          <w:rFonts w:hint="eastAsia" w:ascii="仿宋_GB2312" w:hAnsi="宋体" w:eastAsia="仿宋_GB2312" w:cs="仿宋_GB2312"/>
          <w:i w:val="0"/>
          <w:caps w:val="0"/>
          <w:color w:val="000000"/>
          <w:spacing w:val="0"/>
          <w:kern w:val="0"/>
          <w:sz w:val="32"/>
          <w:szCs w:val="32"/>
          <w:lang w:val="en-US" w:eastAsia="zh-CN" w:bidi="ar"/>
        </w:rPr>
        <w:t>街道加强组织机构建设。专门成立朱刘街道政府信息公开工作领导小组，与政研室合署办公，具体负责推进、指导、协调、监督街道政府信息公开工作。通过确立政府信息公开的工作机构、主要职责，明确了公开的范围和重点，建立了信息发布协调与处理机制，不断规范完善公开的方式和程序，逐步建立健全政府信息公开工作考核制度、社会评议制度和责任追究制度，推动了政府信息公开工作深入开展。</w:t>
      </w:r>
    </w:p>
    <w:p>
      <w:pPr>
        <w:pStyle w:val="2"/>
        <w:keepNext w:val="0"/>
        <w:keepLines w:val="0"/>
        <w:widowControl/>
        <w:suppressLineNumbers w:val="0"/>
        <w:spacing w:before="0" w:beforeAutospacing="0" w:after="240" w:afterAutospacing="0" w:line="15" w:lineRule="atLeast"/>
        <w:ind w:left="0" w:right="0" w:firstLine="640"/>
        <w:jc w:val="both"/>
        <w:rPr>
          <w:rFonts w:hint="eastAsia" w:ascii="仿宋_GB2312" w:hAnsi="宋体" w:eastAsia="仿宋_GB2312" w:cs="仿宋_GB2312"/>
          <w:i w:val="0"/>
          <w:caps w:val="0"/>
          <w:color w:val="000000"/>
          <w:spacing w:val="0"/>
          <w:kern w:val="0"/>
          <w:sz w:val="32"/>
          <w:szCs w:val="32"/>
          <w:lang w:val="en-US" w:eastAsia="zh-CN" w:bidi="ar"/>
        </w:rPr>
      </w:pPr>
      <w:r>
        <w:rPr>
          <w:rFonts w:hint="eastAsia" w:ascii="仿宋_GB2312" w:hAnsi="宋体" w:eastAsia="仿宋_GB2312" w:cs="仿宋_GB2312"/>
          <w:i w:val="0"/>
          <w:caps w:val="0"/>
          <w:color w:val="000000"/>
          <w:spacing w:val="0"/>
          <w:kern w:val="0"/>
          <w:sz w:val="32"/>
          <w:szCs w:val="32"/>
          <w:lang w:val="en-US" w:eastAsia="zh-CN" w:bidi="ar"/>
        </w:rPr>
        <w:t>明确一名党政办工作人员专门负责日常公开工作，并对政务公开信息量、完整性、时效性、准确性等进行严格检查，确保政府信息公开的各项工作任务保质保量完成。</w:t>
      </w:r>
    </w:p>
    <w:p>
      <w:pPr>
        <w:pStyle w:val="2"/>
        <w:keepNext w:val="0"/>
        <w:keepLines w:val="0"/>
        <w:widowControl/>
        <w:suppressLineNumbers w:val="0"/>
        <w:spacing w:before="0" w:beforeAutospacing="0" w:after="240" w:afterAutospacing="0" w:line="15" w:lineRule="atLeast"/>
        <w:ind w:right="0"/>
        <w:jc w:val="both"/>
        <w:rPr>
          <w:rFonts w:hint="eastAsia" w:ascii="仿宋_GB2312" w:hAnsi="宋体" w:eastAsia="仿宋_GB2312" w:cs="仿宋_GB2312"/>
          <w:i w:val="0"/>
          <w:caps w:val="0"/>
          <w:color w:val="000000"/>
          <w:spacing w:val="0"/>
          <w:kern w:val="0"/>
          <w:sz w:val="32"/>
          <w:szCs w:val="32"/>
          <w:lang w:val="en-US" w:eastAsia="zh-CN" w:bidi="ar"/>
        </w:rPr>
      </w:pPr>
      <w:r>
        <w:rPr>
          <w:rFonts w:hint="eastAsia" w:ascii="仿宋_GB2312" w:hAnsi="宋体" w:eastAsia="仿宋_GB2312" w:cs="仿宋_GB2312"/>
          <w:i w:val="0"/>
          <w:caps w:val="0"/>
          <w:color w:val="000000"/>
          <w:spacing w:val="0"/>
          <w:kern w:val="0"/>
          <w:sz w:val="32"/>
          <w:szCs w:val="32"/>
          <w:lang w:val="en-US" w:eastAsia="zh-CN" w:bidi="ar"/>
        </w:rPr>
        <w:t xml:space="preserve"> （四）平台建设情况。朱刘街道街道政府信息公开形式主要有电子化公开和纸质化公开两种形式。电子化公开主要依托“朱刘街道办事处”微信公众号、昌乐县政府门户网站，纸质化公开主要在街道公开宣传栏张贴。</w:t>
      </w:r>
    </w:p>
    <w:p>
      <w:pPr>
        <w:pStyle w:val="2"/>
        <w:keepNext w:val="0"/>
        <w:keepLines w:val="0"/>
        <w:widowControl/>
        <w:suppressLineNumbers w:val="0"/>
        <w:spacing w:before="0" w:beforeAutospacing="0" w:after="240" w:afterAutospacing="0" w:line="15" w:lineRule="atLeast"/>
        <w:ind w:left="0" w:right="0" w:firstLine="640"/>
        <w:jc w:val="both"/>
        <w:rPr>
          <w:rFonts w:hint="eastAsia" w:ascii="仿宋_GB2312" w:hAnsi="宋体" w:eastAsia="仿宋_GB2312" w:cs="仿宋_GB2312"/>
          <w:i w:val="0"/>
          <w:caps w:val="0"/>
          <w:color w:val="000000"/>
          <w:spacing w:val="0"/>
          <w:kern w:val="0"/>
          <w:sz w:val="32"/>
          <w:szCs w:val="32"/>
          <w:lang w:val="en-US" w:eastAsia="zh-CN" w:bidi="ar"/>
        </w:rPr>
      </w:pPr>
      <w:r>
        <w:rPr>
          <w:rFonts w:hint="eastAsia" w:ascii="仿宋_GB2312" w:hAnsi="宋体" w:eastAsia="仿宋_GB2312" w:cs="仿宋_GB2312"/>
          <w:i w:val="0"/>
          <w:caps w:val="0"/>
          <w:color w:val="000000"/>
          <w:spacing w:val="0"/>
          <w:kern w:val="0"/>
          <w:sz w:val="32"/>
          <w:szCs w:val="32"/>
          <w:lang w:val="en-US" w:eastAsia="zh-CN" w:bidi="ar"/>
        </w:rPr>
        <w:t xml:space="preserve"> （五）监督保障情况。街道不断建立健全和严格执行政府信息公开制度、考核制度和责任追究制度，信息公开领导小组定期对信息公开工作进行考核、评议。通过不断建立健全主动公开制度，明确了工作职责、程序、公开方式和时限要求。修订完善了《请示报告制度》、《公文处理制度》、《保密制度》等规章制度，并认真组织机关工作人员逐项学习。这些制度操作性强，实现了信息公开的制度化、规范化和程序化。</w:t>
      </w:r>
    </w:p>
    <w:p>
      <w:pPr>
        <w:pStyle w:val="2"/>
        <w:keepNext w:val="0"/>
        <w:keepLines w:val="0"/>
        <w:widowControl/>
        <w:suppressLineNumbers w:val="0"/>
        <w:spacing w:before="0" w:beforeAutospacing="0" w:after="240" w:afterAutospacing="0" w:line="15" w:lineRule="atLeast"/>
        <w:ind w:left="0" w:right="0" w:firstLine="640"/>
        <w:jc w:val="both"/>
        <w:rPr>
          <w:rFonts w:hint="eastAsia" w:ascii="仿宋_GB2312" w:hAnsi="宋体" w:eastAsia="仿宋_GB2312" w:cs="仿宋_GB2312"/>
          <w:i w:val="0"/>
          <w:caps w:val="0"/>
          <w:color w:val="000000"/>
          <w:spacing w:val="0"/>
          <w:kern w:val="0"/>
          <w:sz w:val="32"/>
          <w:szCs w:val="32"/>
          <w:lang w:val="en-US" w:eastAsia="zh-CN" w:bidi="ar"/>
        </w:rPr>
      </w:pPr>
      <w:r>
        <w:rPr>
          <w:rFonts w:hint="eastAsia" w:ascii="仿宋_GB2312" w:hAnsi="宋体" w:eastAsia="仿宋_GB2312" w:cs="仿宋_GB2312"/>
          <w:i w:val="0"/>
          <w:caps w:val="0"/>
          <w:color w:val="000000"/>
          <w:spacing w:val="0"/>
          <w:kern w:val="0"/>
          <w:sz w:val="32"/>
          <w:szCs w:val="32"/>
          <w:lang w:val="en-US" w:eastAsia="zh-CN" w:bidi="ar"/>
        </w:rPr>
        <w:t>严格落实主体责任，把政务公开工作落实到具体人员。加强对信息公开工作的督查指导,及时上报和解决工作中出现的新情况、新问题。对于出现问题的方面,给予通报和追究责任。</w:t>
      </w:r>
    </w:p>
    <w:p>
      <w:pPr>
        <w:pStyle w:val="2"/>
        <w:keepNext w:val="0"/>
        <w:keepLines w:val="0"/>
        <w:widowControl/>
        <w:numPr>
          <w:ilvl w:val="0"/>
          <w:numId w:val="2"/>
        </w:numPr>
        <w:suppressLineNumbers w:val="0"/>
        <w:spacing w:before="0" w:beforeAutospacing="0" w:after="240" w:afterAutospacing="0" w:line="15" w:lineRule="atLeast"/>
        <w:ind w:right="0"/>
        <w:jc w:val="both"/>
        <w:rPr>
          <w:rFonts w:hint="eastAsia" w:ascii="仿宋_GB2312" w:hAnsi="宋体" w:eastAsia="仿宋_GB2312" w:cs="仿宋_GB2312"/>
          <w:i w:val="0"/>
          <w:caps w:val="0"/>
          <w:color w:val="000000"/>
          <w:spacing w:val="0"/>
          <w:kern w:val="0"/>
          <w:sz w:val="32"/>
          <w:szCs w:val="32"/>
          <w:lang w:val="en-US" w:eastAsia="zh-CN" w:bidi="ar"/>
        </w:rPr>
      </w:pPr>
      <w:r>
        <w:rPr>
          <w:rFonts w:hint="eastAsia" w:ascii="仿宋_GB2312" w:hAnsi="宋体" w:eastAsia="仿宋_GB2312" w:cs="仿宋_GB2312"/>
          <w:i w:val="0"/>
          <w:caps w:val="0"/>
          <w:color w:val="000000"/>
          <w:spacing w:val="0"/>
          <w:kern w:val="0"/>
          <w:sz w:val="32"/>
          <w:szCs w:val="32"/>
          <w:lang w:val="en-US" w:eastAsia="zh-CN" w:bidi="ar"/>
        </w:rPr>
        <w:t>建议提案办理结果公开情况。</w:t>
      </w:r>
    </w:p>
    <w:p>
      <w:pPr>
        <w:pStyle w:val="2"/>
        <w:keepNext w:val="0"/>
        <w:keepLines w:val="0"/>
        <w:widowControl/>
        <w:numPr>
          <w:ilvl w:val="0"/>
          <w:numId w:val="0"/>
        </w:numPr>
        <w:suppressLineNumbers w:val="0"/>
        <w:spacing w:before="0" w:beforeAutospacing="0" w:after="240" w:afterAutospacing="0" w:line="15" w:lineRule="atLeast"/>
        <w:ind w:right="0" w:rightChars="0"/>
        <w:jc w:val="both"/>
        <w:rPr>
          <w:rFonts w:hint="eastAsia" w:ascii="仿宋_GB2312" w:hAnsi="宋体" w:eastAsia="仿宋_GB2312" w:cs="仿宋_GB2312"/>
          <w:i w:val="0"/>
          <w:caps w:val="0"/>
          <w:color w:val="000000"/>
          <w:spacing w:val="0"/>
          <w:kern w:val="0"/>
          <w:sz w:val="32"/>
          <w:szCs w:val="32"/>
          <w:lang w:val="en-US" w:eastAsia="zh-CN" w:bidi="ar"/>
        </w:rPr>
      </w:pPr>
      <w:r>
        <w:rPr>
          <w:rFonts w:hint="eastAsia" w:ascii="仿宋_GB2312" w:hAnsi="宋体" w:eastAsia="仿宋_GB2312" w:cs="仿宋_GB2312"/>
          <w:i w:val="0"/>
          <w:caps w:val="0"/>
          <w:color w:val="000000"/>
          <w:spacing w:val="0"/>
          <w:kern w:val="0"/>
          <w:sz w:val="32"/>
          <w:szCs w:val="32"/>
          <w:lang w:val="en-US" w:eastAsia="zh-CN" w:bidi="ar"/>
        </w:rPr>
        <w:t>在人大代表建议、政协委员提案办理工作上，街道一贯高度重视，始终坚持高质量、高标准、高要求，不断强化措施，创新办理工作方式方法，不单纯地就建议办建议、就提案办提案，而是把建议提案办理工作作为与代表委员们沟通联系的桥梁和纽带，作为向代表委员们征求对办理工作及部门工作的建议和意见的大好机遇，得到了代表委员们的充分肯定，取得了良好的效果。</w:t>
      </w:r>
    </w:p>
    <w:p>
      <w:pPr>
        <w:pStyle w:val="2"/>
        <w:keepNext w:val="0"/>
        <w:keepLines w:val="0"/>
        <w:widowControl/>
        <w:numPr>
          <w:ilvl w:val="0"/>
          <w:numId w:val="0"/>
        </w:numPr>
        <w:suppressLineNumbers w:val="0"/>
        <w:spacing w:before="0" w:beforeAutospacing="0" w:after="240" w:afterAutospacing="0" w:line="15" w:lineRule="atLeast"/>
        <w:ind w:right="0" w:rightChars="0"/>
        <w:jc w:val="both"/>
        <w:rPr>
          <w:rFonts w:hint="eastAsia" w:ascii="仿宋_GB2312" w:hAnsi="宋体" w:eastAsia="仿宋_GB2312" w:cs="仿宋_GB2312"/>
          <w:i w:val="0"/>
          <w:caps w:val="0"/>
          <w:color w:val="000000"/>
          <w:spacing w:val="0"/>
          <w:kern w:val="0"/>
          <w:sz w:val="32"/>
          <w:szCs w:val="32"/>
          <w:lang w:val="en-US" w:eastAsia="zh-CN" w:bidi="ar"/>
        </w:rPr>
      </w:pPr>
      <w:r>
        <w:rPr>
          <w:rFonts w:hint="eastAsia" w:ascii="仿宋_GB2312" w:hAnsi="宋体" w:eastAsia="仿宋_GB2312" w:cs="仿宋_GB2312"/>
          <w:i w:val="0"/>
          <w:caps w:val="0"/>
          <w:color w:val="000000"/>
          <w:spacing w:val="0"/>
          <w:kern w:val="0"/>
          <w:sz w:val="32"/>
          <w:szCs w:val="32"/>
          <w:lang w:val="en-US" w:eastAsia="zh-CN" w:bidi="ar"/>
        </w:rPr>
        <w:t xml:space="preserve"> 2019年度，我单位承办人大代表建议0件，承办政协委员提案1件，办复率为100%，均已在政府网站（或通过其他形式）进行了公开。</w:t>
      </w:r>
    </w:p>
    <w:p>
      <w:pPr>
        <w:pStyle w:val="2"/>
        <w:keepNext w:val="0"/>
        <w:keepLines w:val="0"/>
        <w:widowControl/>
        <w:suppressLineNumbers w:val="0"/>
        <w:spacing w:before="0" w:beforeAutospacing="0" w:after="240" w:afterAutospacing="0" w:line="15" w:lineRule="atLeast"/>
        <w:ind w:right="0"/>
        <w:jc w:val="both"/>
        <w:rPr>
          <w:rFonts w:hint="eastAsia" w:ascii="仿宋_GB2312" w:hAnsi="宋体" w:eastAsia="仿宋_GB2312" w:cs="仿宋_GB2312"/>
          <w:i w:val="0"/>
          <w:caps w:val="0"/>
          <w:color w:val="000000"/>
          <w:spacing w:val="0"/>
          <w:kern w:val="0"/>
          <w:sz w:val="32"/>
          <w:szCs w:val="32"/>
          <w:lang w:val="en-US" w:eastAsia="zh-CN" w:bidi="ar"/>
        </w:rPr>
      </w:pPr>
      <w:r>
        <w:rPr>
          <w:rFonts w:hint="eastAsia" w:ascii="仿宋_GB2312" w:hAnsi="宋体" w:eastAsia="仿宋_GB2312" w:cs="仿宋_GB2312"/>
          <w:i w:val="0"/>
          <w:caps w:val="0"/>
          <w:color w:val="000000"/>
          <w:spacing w:val="0"/>
          <w:kern w:val="0"/>
          <w:sz w:val="32"/>
          <w:szCs w:val="32"/>
          <w:lang w:val="en-US" w:eastAsia="zh-CN" w:bidi="ar"/>
        </w:rPr>
        <w:t>接到提案后，街道进行了认真地梳理和分类，拟出了具体承办意见，与代表委员们保持沟通、联系，把代表委员们的真实想法及时反馈给有关领导，了解掌握办理工作的进度，负责对文字材料的整理和把关，组织具体承办科室一起面对面地答复代表委员，具体承办部门按照办公室的具体要求认真抓好建议提案的办理落实工作。</w:t>
      </w:r>
    </w:p>
    <w:p>
      <w:pPr>
        <w:pStyle w:val="2"/>
        <w:keepNext w:val="0"/>
        <w:keepLines w:val="0"/>
        <w:widowControl/>
        <w:suppressLineNumbers w:val="0"/>
        <w:spacing w:before="0" w:beforeAutospacing="0" w:after="240" w:afterAutospacing="0" w:line="15" w:lineRule="atLeast"/>
        <w:ind w:left="0" w:right="0" w:firstLine="640"/>
        <w:jc w:val="both"/>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333333"/>
          <w:spacing w:val="0"/>
          <w:sz w:val="32"/>
          <w:szCs w:val="32"/>
        </w:rPr>
        <w:t>二、主动公开政府信息情况</w:t>
      </w:r>
    </w:p>
    <w:tbl>
      <w:tblPr>
        <w:tblStyle w:val="3"/>
        <w:tblW w:w="8708" w:type="dxa"/>
        <w:jc w:val="center"/>
        <w:shd w:val="clear" w:color="auto" w:fill="auto"/>
        <w:tblLayout w:type="autofit"/>
        <w:tblCellMar>
          <w:top w:w="15" w:type="dxa"/>
          <w:left w:w="15" w:type="dxa"/>
          <w:bottom w:w="15" w:type="dxa"/>
          <w:right w:w="15" w:type="dxa"/>
        </w:tblCellMar>
      </w:tblPr>
      <w:tblGrid>
        <w:gridCol w:w="3073"/>
        <w:gridCol w:w="17"/>
        <w:gridCol w:w="2095"/>
        <w:gridCol w:w="1505"/>
        <w:gridCol w:w="2018"/>
      </w:tblGrid>
      <w:tr>
        <w:tblPrEx>
          <w:shd w:val="clear" w:color="auto" w:fill="auto"/>
          <w:tblCellMar>
            <w:top w:w="15" w:type="dxa"/>
            <w:left w:w="15" w:type="dxa"/>
            <w:bottom w:w="15" w:type="dxa"/>
            <w:right w:w="15" w:type="dxa"/>
          </w:tblCellMar>
        </w:tblPrEx>
        <w:trPr>
          <w:trHeight w:val="594" w:hRule="atLeast"/>
          <w:jc w:val="center"/>
        </w:trPr>
        <w:tc>
          <w:tcPr>
            <w:tcW w:w="8708"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第二十条第（一）项</w:t>
            </w:r>
          </w:p>
        </w:tc>
      </w:tr>
      <w:tr>
        <w:tblPrEx>
          <w:shd w:val="clear" w:color="auto" w:fill="auto"/>
          <w:tblCellMar>
            <w:top w:w="15" w:type="dxa"/>
            <w:left w:w="15" w:type="dxa"/>
            <w:bottom w:w="15" w:type="dxa"/>
            <w:right w:w="15"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信息内容</w:t>
            </w:r>
          </w:p>
        </w:tc>
        <w:tc>
          <w:tcPr>
            <w:tcW w:w="2112"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本年新制作数量</w:t>
            </w:r>
          </w:p>
        </w:tc>
        <w:tc>
          <w:tcPr>
            <w:tcW w:w="15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本年新</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公开数量</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对外公开</w:t>
            </w:r>
          </w:p>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总数量</w:t>
            </w:r>
          </w:p>
        </w:tc>
      </w:tr>
      <w:tr>
        <w:tblPrEx>
          <w:shd w:val="clear" w:color="auto" w:fill="auto"/>
          <w:tblCellMar>
            <w:top w:w="15" w:type="dxa"/>
            <w:left w:w="15" w:type="dxa"/>
            <w:bottom w:w="15" w:type="dxa"/>
            <w:right w:w="15" w:type="dxa"/>
          </w:tblCellMar>
        </w:tblPrEx>
        <w:trPr>
          <w:trHeight w:val="399"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规章</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1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r>
      <w:tr>
        <w:tblPrEx>
          <w:shd w:val="clear" w:color="auto" w:fill="auto"/>
          <w:tblCellMar>
            <w:top w:w="15" w:type="dxa"/>
            <w:left w:w="15" w:type="dxa"/>
            <w:bottom w:w="15" w:type="dxa"/>
            <w:right w:w="15" w:type="dxa"/>
          </w:tblCellMar>
        </w:tblPrEx>
        <w:trPr>
          <w:trHeight w:val="404"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规范性文件</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1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r>
      <w:tr>
        <w:tblPrEx>
          <w:shd w:val="clear" w:color="auto" w:fill="auto"/>
          <w:tblCellMar>
            <w:top w:w="15" w:type="dxa"/>
            <w:left w:w="15" w:type="dxa"/>
            <w:bottom w:w="15" w:type="dxa"/>
            <w:right w:w="15" w:type="dxa"/>
          </w:tblCellMar>
        </w:tblPrEx>
        <w:trPr>
          <w:trHeight w:val="480" w:hRule="atLeast"/>
          <w:jc w:val="center"/>
        </w:trPr>
        <w:tc>
          <w:tcPr>
            <w:tcW w:w="8708"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第二十条第（五）项</w:t>
            </w:r>
          </w:p>
        </w:tc>
      </w:tr>
      <w:tr>
        <w:tblPrEx>
          <w:shd w:val="clear" w:color="auto" w:fill="auto"/>
          <w:tblCellMar>
            <w:top w:w="15" w:type="dxa"/>
            <w:left w:w="15" w:type="dxa"/>
            <w:bottom w:w="15" w:type="dxa"/>
            <w:right w:w="15" w:type="dxa"/>
          </w:tblCellMar>
        </w:tblPrEx>
        <w:trPr>
          <w:trHeight w:val="516"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信息内容</w:t>
            </w:r>
          </w:p>
        </w:tc>
        <w:tc>
          <w:tcPr>
            <w:tcW w:w="2112"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上一年项目数量</w:t>
            </w:r>
          </w:p>
        </w:tc>
        <w:tc>
          <w:tcPr>
            <w:tcW w:w="15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本年增/减</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处理决定数量</w:t>
            </w:r>
          </w:p>
        </w:tc>
      </w:tr>
      <w:tr>
        <w:tblPrEx>
          <w:shd w:val="clear" w:color="auto" w:fill="auto"/>
          <w:tblCellMar>
            <w:top w:w="15" w:type="dxa"/>
            <w:left w:w="15" w:type="dxa"/>
            <w:bottom w:w="15" w:type="dxa"/>
            <w:right w:w="15"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行政许可</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1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r>
      <w:tr>
        <w:tblPrEx>
          <w:shd w:val="clear" w:color="auto" w:fill="auto"/>
          <w:tblCellMar>
            <w:top w:w="15" w:type="dxa"/>
            <w:left w:w="15" w:type="dxa"/>
            <w:bottom w:w="15" w:type="dxa"/>
            <w:right w:w="15" w:type="dxa"/>
          </w:tblCellMar>
        </w:tblPrEx>
        <w:trPr>
          <w:trHeight w:val="550"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其他对外管理服务事项</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1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r>
      <w:tr>
        <w:tblPrEx>
          <w:shd w:val="clear" w:color="auto" w:fill="auto"/>
          <w:tblCellMar>
            <w:top w:w="15" w:type="dxa"/>
            <w:left w:w="15" w:type="dxa"/>
            <w:bottom w:w="15" w:type="dxa"/>
            <w:right w:w="15" w:type="dxa"/>
          </w:tblCellMar>
        </w:tblPrEx>
        <w:trPr>
          <w:trHeight w:val="497" w:hRule="atLeast"/>
          <w:jc w:val="center"/>
        </w:trPr>
        <w:tc>
          <w:tcPr>
            <w:tcW w:w="8708"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第二十条第（六）项</w:t>
            </w:r>
          </w:p>
        </w:tc>
      </w:tr>
      <w:tr>
        <w:tblPrEx>
          <w:shd w:val="clear" w:color="auto" w:fill="auto"/>
          <w:tblCellMar>
            <w:top w:w="15" w:type="dxa"/>
            <w:left w:w="15" w:type="dxa"/>
            <w:bottom w:w="15" w:type="dxa"/>
            <w:right w:w="15" w:type="dxa"/>
          </w:tblCellMar>
        </w:tblPrEx>
        <w:trPr>
          <w:trHeight w:val="547"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信息内容</w:t>
            </w:r>
          </w:p>
        </w:tc>
        <w:tc>
          <w:tcPr>
            <w:tcW w:w="2112"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上一年项目数量</w:t>
            </w:r>
          </w:p>
        </w:tc>
        <w:tc>
          <w:tcPr>
            <w:tcW w:w="15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本年增/减</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处理决定数量</w:t>
            </w:r>
          </w:p>
        </w:tc>
      </w:tr>
      <w:tr>
        <w:tblPrEx>
          <w:shd w:val="clear" w:color="auto" w:fill="auto"/>
          <w:tblCellMar>
            <w:top w:w="15" w:type="dxa"/>
            <w:left w:w="15" w:type="dxa"/>
            <w:bottom w:w="15" w:type="dxa"/>
            <w:right w:w="15" w:type="dxa"/>
          </w:tblCellMar>
        </w:tblPrEx>
        <w:trPr>
          <w:trHeight w:val="430"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行政处罚</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1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r>
      <w:tr>
        <w:tblPrEx>
          <w:shd w:val="clear" w:color="auto" w:fill="auto"/>
          <w:tblCellMar>
            <w:top w:w="15" w:type="dxa"/>
            <w:left w:w="15" w:type="dxa"/>
            <w:bottom w:w="15" w:type="dxa"/>
            <w:right w:w="15" w:type="dxa"/>
          </w:tblCellMar>
        </w:tblPrEx>
        <w:trPr>
          <w:trHeight w:val="409"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行政强制</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1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　</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r>
      <w:tr>
        <w:tblPrEx>
          <w:shd w:val="clear" w:color="auto" w:fill="auto"/>
          <w:tblCellMar>
            <w:top w:w="15" w:type="dxa"/>
            <w:left w:w="15" w:type="dxa"/>
            <w:bottom w:w="15" w:type="dxa"/>
            <w:right w:w="15" w:type="dxa"/>
          </w:tblCellMar>
        </w:tblPrEx>
        <w:trPr>
          <w:trHeight w:val="474" w:hRule="atLeast"/>
          <w:jc w:val="center"/>
        </w:trPr>
        <w:tc>
          <w:tcPr>
            <w:tcW w:w="8708"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第二十条第（八）项</w:t>
            </w:r>
          </w:p>
        </w:tc>
      </w:tr>
      <w:tr>
        <w:tblPrEx>
          <w:shd w:val="clear" w:color="auto" w:fill="auto"/>
          <w:tblCellMar>
            <w:top w:w="15" w:type="dxa"/>
            <w:left w:w="15" w:type="dxa"/>
            <w:bottom w:w="15" w:type="dxa"/>
            <w:right w:w="15"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信息内容</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上一年项目数量</w:t>
            </w:r>
          </w:p>
        </w:tc>
        <w:tc>
          <w:tcPr>
            <w:tcW w:w="3523" w:type="dxa"/>
            <w:gridSpan w:val="2"/>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本年增/减</w:t>
            </w:r>
          </w:p>
        </w:tc>
      </w:tr>
      <w:tr>
        <w:tblPrEx>
          <w:shd w:val="clear" w:color="auto" w:fill="auto"/>
          <w:tblCellMar>
            <w:top w:w="15" w:type="dxa"/>
            <w:left w:w="15" w:type="dxa"/>
            <w:bottom w:w="15" w:type="dxa"/>
            <w:right w:w="15"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行政事业性收费</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3523" w:type="dxa"/>
            <w:gridSpan w:val="2"/>
            <w:tcBorders>
              <w:top w:val="nil"/>
              <w:left w:val="nil"/>
              <w:bottom w:val="single" w:color="auto"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r>
      <w:tr>
        <w:tblPrEx>
          <w:shd w:val="clear" w:color="auto" w:fill="auto"/>
          <w:tblCellMar>
            <w:top w:w="15" w:type="dxa"/>
            <w:left w:w="15" w:type="dxa"/>
            <w:bottom w:w="15" w:type="dxa"/>
            <w:right w:w="15" w:type="dxa"/>
          </w:tblCellMar>
        </w:tblPrEx>
        <w:trPr>
          <w:trHeight w:val="476" w:hRule="atLeast"/>
          <w:jc w:val="center"/>
        </w:trPr>
        <w:tc>
          <w:tcPr>
            <w:tcW w:w="8708"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第二十条第（九）项</w:t>
            </w:r>
          </w:p>
        </w:tc>
      </w:tr>
      <w:tr>
        <w:tblPrEx>
          <w:shd w:val="clear" w:color="auto" w:fill="auto"/>
          <w:tblCellMar>
            <w:top w:w="15" w:type="dxa"/>
            <w:left w:w="15" w:type="dxa"/>
            <w:bottom w:w="15" w:type="dxa"/>
            <w:right w:w="15" w:type="dxa"/>
          </w:tblCellMar>
        </w:tblPrEx>
        <w:trPr>
          <w:trHeight w:val="427" w:hRule="atLeast"/>
          <w:jc w:val="center"/>
        </w:trPr>
        <w:tc>
          <w:tcPr>
            <w:tcW w:w="309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信息内容</w:t>
            </w:r>
          </w:p>
        </w:tc>
        <w:tc>
          <w:tcPr>
            <w:tcW w:w="20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采购项目数量</w:t>
            </w:r>
          </w:p>
        </w:tc>
        <w:tc>
          <w:tcPr>
            <w:tcW w:w="3523" w:type="dxa"/>
            <w:gridSpan w:val="2"/>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采购总金额</w:t>
            </w:r>
          </w:p>
        </w:tc>
      </w:tr>
      <w:tr>
        <w:tblPrEx>
          <w:shd w:val="clear" w:color="auto" w:fill="auto"/>
          <w:tblCellMar>
            <w:top w:w="15" w:type="dxa"/>
            <w:left w:w="15" w:type="dxa"/>
            <w:bottom w:w="15" w:type="dxa"/>
            <w:right w:w="15" w:type="dxa"/>
          </w:tblCellMar>
        </w:tblPrEx>
        <w:trPr>
          <w:trHeight w:val="469" w:hRule="atLeast"/>
          <w:jc w:val="center"/>
        </w:trPr>
        <w:tc>
          <w:tcPr>
            <w:tcW w:w="309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政府集中采购</w:t>
            </w:r>
          </w:p>
        </w:tc>
        <w:tc>
          <w:tcPr>
            <w:tcW w:w="20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3523" w:type="dxa"/>
            <w:gridSpan w:val="2"/>
            <w:tcBorders>
              <w:top w:val="nil"/>
              <w:left w:val="nil"/>
              <w:bottom w:val="single" w:color="auto"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bl>
    <w:p>
      <w:pPr>
        <w:pStyle w:val="2"/>
        <w:keepNext w:val="0"/>
        <w:keepLines w:val="0"/>
        <w:widowControl/>
        <w:suppressLineNumbers w:val="0"/>
        <w:spacing w:before="0" w:beforeAutospacing="0" w:after="0" w:afterAutospacing="0" w:line="15"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333333"/>
          <w:spacing w:val="0"/>
          <w:sz w:val="24"/>
          <w:szCs w:val="24"/>
        </w:rPr>
        <w:t> </w:t>
      </w:r>
    </w:p>
    <w:p>
      <w:pPr>
        <w:pStyle w:val="2"/>
        <w:keepNext w:val="0"/>
        <w:keepLines w:val="0"/>
        <w:widowControl/>
        <w:suppressLineNumbers w:val="0"/>
        <w:spacing w:before="0" w:beforeAutospacing="0" w:after="240" w:afterAutospacing="0" w:line="15" w:lineRule="atLeast"/>
        <w:ind w:left="-199" w:right="0" w:firstLine="620"/>
        <w:jc w:val="both"/>
        <w:rPr>
          <w:rFonts w:hint="eastAsia" w:ascii="黑体" w:hAnsi="宋体" w:eastAsia="黑体" w:cs="黑体"/>
          <w:i w:val="0"/>
          <w:caps w:val="0"/>
          <w:color w:val="333333"/>
          <w:spacing w:val="0"/>
          <w:sz w:val="32"/>
          <w:szCs w:val="32"/>
        </w:rPr>
      </w:pPr>
    </w:p>
    <w:p>
      <w:pPr>
        <w:pStyle w:val="2"/>
        <w:keepNext w:val="0"/>
        <w:keepLines w:val="0"/>
        <w:widowControl/>
        <w:suppressLineNumbers w:val="0"/>
        <w:spacing w:before="0" w:beforeAutospacing="0" w:after="240" w:afterAutospacing="0" w:line="15" w:lineRule="atLeast"/>
        <w:ind w:left="-199" w:right="0" w:firstLine="620"/>
        <w:jc w:val="both"/>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333333"/>
          <w:spacing w:val="0"/>
          <w:sz w:val="32"/>
          <w:szCs w:val="32"/>
        </w:rPr>
        <w:t>三、收到和处理政府信息公开申请情况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6"/>
        <w:gridCol w:w="1405"/>
        <w:gridCol w:w="2793"/>
        <w:gridCol w:w="842"/>
        <w:gridCol w:w="562"/>
        <w:gridCol w:w="562"/>
        <w:gridCol w:w="562"/>
        <w:gridCol w:w="562"/>
        <w:gridCol w:w="536"/>
        <w:gridCol w:w="63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（本列数据的勾稽关系为：第一项加第二项之和，</w:t>
            </w:r>
          </w:p>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等于第三项加第四项之和）</w:t>
            </w:r>
          </w:p>
        </w:tc>
        <w:tc>
          <w:tcPr>
            <w:tcW w:w="4293"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85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自然人</w:t>
            </w:r>
          </w:p>
        </w:tc>
        <w:tc>
          <w:tcPr>
            <w:tcW w:w="2808"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法人或其他组织</w:t>
            </w:r>
          </w:p>
        </w:tc>
        <w:tc>
          <w:tcPr>
            <w:tcW w:w="635"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85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106" w:right="-107" w:hanging="1"/>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商业企业</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107" w:right="-107"/>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科研机构</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107" w:right="-107"/>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社会公益组织</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106" w:right="-107" w:hanging="1"/>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法律服务机构</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63" w:right="-134"/>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w:t>
            </w:r>
          </w:p>
        </w:tc>
        <w:tc>
          <w:tcPr>
            <w:tcW w:w="635"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一、本年新收政府信息公开申请数量</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二、上年结转政府信息公开申请数量</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2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三、本年度办理结果</w:t>
            </w:r>
          </w:p>
        </w:tc>
        <w:tc>
          <w:tcPr>
            <w:tcW w:w="425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ascii="楷体" w:hAnsi="楷体" w:eastAsia="楷体" w:cs="楷体"/>
                <w:kern w:val="0"/>
                <w:sz w:val="20"/>
                <w:szCs w:val="20"/>
                <w:lang w:val="en-US" w:eastAsia="zh-CN" w:bidi="ar"/>
              </w:rPr>
              <w:t>（一）予以公开</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425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（二）部分公开（区分处理的，只计这一情形，不计其他情形）</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107"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（三）不予公开</w:t>
            </w: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1.属于国家秘密</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2.其他法律行政法规禁止公开</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3.危及“三安全一稳定”</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4.保护第三方合法权益</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5.属于三类内部事务信息</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6.属于四类过程性信息</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7.属于行政执法案卷</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8.属于行政查询事项</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107"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（四）无法提供</w:t>
            </w: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1.本机关不掌握相关政府信息</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2.没有现成信息需要另行制作</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3.补正后申请内容仍不明确</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107"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（五）不予处理</w:t>
            </w: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1.信访举报投诉类申请</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2.重复申请</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3.要求提供公开出版物</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4.无正当理由大量反复申请</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5.要求行政机关确认或重新</w:t>
            </w:r>
          </w:p>
          <w:p>
            <w:pPr>
              <w:keepNext w:val="0"/>
              <w:keepLines w:val="0"/>
              <w:widowControl/>
              <w:suppressLineNumbers w:val="0"/>
              <w:spacing w:before="0" w:beforeAutospacing="0" w:after="0" w:afterAutospacing="0" w:line="300" w:lineRule="atLeast"/>
              <w:ind w:left="0" w:right="0" w:firstLine="20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出具已获取信息</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425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（六）其他处理</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425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（七）总计</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四、结转下年度继续办理</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bl>
    <w:p>
      <w:pPr>
        <w:pStyle w:val="2"/>
        <w:keepNext w:val="0"/>
        <w:keepLines w:val="0"/>
        <w:widowControl/>
        <w:suppressLineNumbers w:val="0"/>
        <w:spacing w:before="0" w:beforeAutospacing="0" w:after="0" w:afterAutospacing="0" w:line="15"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333333"/>
          <w:spacing w:val="0"/>
          <w:sz w:val="24"/>
          <w:szCs w:val="24"/>
        </w:rPr>
        <w:t> </w:t>
      </w:r>
    </w:p>
    <w:p>
      <w:pPr>
        <w:pStyle w:val="2"/>
        <w:keepNext w:val="0"/>
        <w:keepLines w:val="0"/>
        <w:widowControl/>
        <w:suppressLineNumbers w:val="0"/>
        <w:spacing w:before="0" w:beforeAutospacing="0" w:after="0" w:afterAutospacing="0" w:line="15" w:lineRule="atLeast"/>
        <w:ind w:left="0" w:right="0" w:firstLine="420"/>
        <w:jc w:val="both"/>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333333"/>
          <w:spacing w:val="0"/>
          <w:sz w:val="32"/>
          <w:szCs w:val="32"/>
        </w:rPr>
        <w:t>四、政府信息公开行政复议、行政诉讼情况</w:t>
      </w:r>
    </w:p>
    <w:p>
      <w:pPr>
        <w:pStyle w:val="2"/>
        <w:keepNext w:val="0"/>
        <w:keepLines w:val="0"/>
        <w:widowControl/>
        <w:suppressLineNumbers w:val="0"/>
        <w:spacing w:before="0" w:beforeAutospacing="0" w:after="0" w:afterAutospacing="0" w:line="15"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333333"/>
          <w:spacing w:val="0"/>
          <w:sz w:val="24"/>
          <w:szCs w:val="24"/>
        </w:rPr>
        <w:t> </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49" w:right="-17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w:t>
            </w:r>
          </w:p>
          <w:p>
            <w:pPr>
              <w:keepNext w:val="0"/>
              <w:keepLines w:val="0"/>
              <w:widowControl/>
              <w:suppressLineNumbers w:val="0"/>
              <w:spacing w:before="0" w:beforeAutospacing="0" w:after="0" w:afterAutospacing="0" w:line="15" w:lineRule="atLeast"/>
              <w:ind w:left="-149" w:right="-17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维持</w:t>
            </w:r>
          </w:p>
        </w:tc>
        <w:tc>
          <w:tcPr>
            <w:tcW w:w="60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43" w:right="-132" w:hanging="1"/>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82" w:right="-97"/>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18" w:right="-118"/>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尚未</w:t>
            </w:r>
          </w:p>
          <w:p>
            <w:pPr>
              <w:keepNext w:val="0"/>
              <w:keepLines w:val="0"/>
              <w:widowControl/>
              <w:suppressLineNumbers w:val="0"/>
              <w:spacing w:before="0" w:beforeAutospacing="0" w:after="0" w:afterAutospacing="0" w:line="15" w:lineRule="atLeast"/>
              <w:ind w:left="-118" w:right="-118"/>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w:t>
            </w:r>
          </w:p>
          <w:p>
            <w:pPr>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计</w:t>
            </w:r>
          </w:p>
        </w:tc>
        <w:tc>
          <w:tcPr>
            <w:tcW w:w="2970"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6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05" w:right="-126"/>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86" w:right="-88"/>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26" w:right="-136"/>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w:t>
            </w:r>
          </w:p>
          <w:p>
            <w:pPr>
              <w:keepNext w:val="0"/>
              <w:keepLines w:val="0"/>
              <w:widowControl/>
              <w:suppressLineNumbers w:val="0"/>
              <w:spacing w:before="0" w:beforeAutospacing="0" w:after="0" w:afterAutospacing="0" w:line="15" w:lineRule="atLeast"/>
              <w:ind w:left="-126" w:right="-136"/>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64" w:right="-153"/>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尚未</w:t>
            </w:r>
          </w:p>
          <w:p>
            <w:pPr>
              <w:keepNext w:val="0"/>
              <w:keepLines w:val="0"/>
              <w:widowControl/>
              <w:suppressLineNumbers w:val="0"/>
              <w:spacing w:before="0" w:beforeAutospacing="0" w:after="0" w:afterAutospacing="0" w:line="15" w:lineRule="atLeast"/>
              <w:ind w:left="-164" w:right="-153"/>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审结</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99" w:right="-78"/>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36" w:right="-124"/>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w:t>
            </w:r>
          </w:p>
          <w:p>
            <w:pPr>
              <w:keepNext w:val="0"/>
              <w:keepLines w:val="0"/>
              <w:widowControl/>
              <w:suppressLineNumbers w:val="0"/>
              <w:spacing w:before="0" w:beforeAutospacing="0" w:after="0" w:afterAutospacing="0" w:line="15" w:lineRule="atLeast"/>
              <w:ind w:left="-136" w:right="-124"/>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73" w:right="-134" w:hanging="1"/>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w:t>
            </w:r>
          </w:p>
          <w:p>
            <w:pPr>
              <w:keepNext w:val="0"/>
              <w:keepLines w:val="0"/>
              <w:widowControl/>
              <w:suppressLineNumbers w:val="0"/>
              <w:spacing w:before="0" w:beforeAutospacing="0" w:after="0" w:afterAutospacing="0" w:line="15" w:lineRule="atLeast"/>
              <w:ind w:left="-173" w:right="-134" w:hanging="1"/>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67" w:right="-105" w:hanging="2"/>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bl>
    <w:p>
      <w:pPr>
        <w:keepNext w:val="0"/>
        <w:keepLines w:val="0"/>
        <w:widowControl/>
        <w:suppressLineNumbers w:val="0"/>
        <w:spacing w:before="0" w:beforeAutospacing="0" w:after="0" w:afterAutospacing="0" w:line="15" w:lineRule="atLeast"/>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333333"/>
          <w:spacing w:val="0"/>
          <w:kern w:val="0"/>
          <w:sz w:val="24"/>
          <w:szCs w:val="24"/>
          <w:lang w:val="en-US" w:eastAsia="zh-CN" w:bidi="ar"/>
        </w:rPr>
        <w:t> </w:t>
      </w:r>
    </w:p>
    <w:p>
      <w:pPr>
        <w:pStyle w:val="2"/>
        <w:keepNext w:val="0"/>
        <w:keepLines w:val="0"/>
        <w:widowControl/>
        <w:suppressLineNumbers w:val="0"/>
        <w:spacing w:before="0" w:beforeAutospacing="0" w:after="0" w:afterAutospacing="0" w:line="15" w:lineRule="atLeast"/>
        <w:ind w:left="0" w:right="0" w:firstLine="420"/>
        <w:jc w:val="both"/>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333333"/>
          <w:spacing w:val="0"/>
          <w:sz w:val="32"/>
          <w:szCs w:val="32"/>
        </w:rPr>
        <w:t>五、存在的主要问题及改进情况</w:t>
      </w:r>
    </w:p>
    <w:p>
      <w:pPr>
        <w:pStyle w:val="2"/>
        <w:keepNext w:val="0"/>
        <w:keepLines w:val="0"/>
        <w:widowControl/>
        <w:suppressLineNumbers w:val="0"/>
        <w:shd w:val="clear" w:fill="FFFFFF"/>
        <w:autoSpaceDE w:val="0"/>
        <w:autoSpaceDN/>
        <w:spacing w:before="0" w:beforeAutospacing="0" w:after="0" w:afterAutospacing="0" w:line="560" w:lineRule="exact"/>
        <w:ind w:left="0" w:right="0" w:firstLine="640" w:firstLineChars="200"/>
        <w:jc w:val="both"/>
      </w:pPr>
      <w:r>
        <w:rPr>
          <w:rFonts w:ascii="楷体_GB2312" w:hAnsi="楷体" w:eastAsia="楷体_GB2312" w:cs="楷体_GB2312"/>
          <w:color w:val="333333"/>
          <w:kern w:val="0"/>
          <w:sz w:val="32"/>
          <w:szCs w:val="32"/>
          <w:shd w:val="clear" w:fill="FFFFFF"/>
          <w:lang w:val="en-US" w:eastAsia="zh-CN" w:bidi="ar"/>
        </w:rPr>
        <w:t>（一）主要问题</w:t>
      </w:r>
    </w:p>
    <w:p>
      <w:pPr>
        <w:pStyle w:val="2"/>
        <w:keepNext w:val="0"/>
        <w:keepLines w:val="0"/>
        <w:widowControl/>
        <w:suppressLineNumbers w:val="0"/>
        <w:shd w:val="clear" w:fill="FFFFFF"/>
        <w:autoSpaceDE w:val="0"/>
        <w:autoSpaceDN/>
        <w:spacing w:before="0" w:beforeAutospacing="0" w:after="0" w:afterAutospacing="0" w:line="560" w:lineRule="exact"/>
        <w:ind w:left="0" w:right="0" w:firstLine="640" w:firstLineChars="200"/>
        <w:jc w:val="both"/>
      </w:pPr>
      <w:r>
        <w:rPr>
          <w:rFonts w:ascii="仿宋_GB2312" w:hAnsi="宋体" w:eastAsia="仿宋_GB2312" w:cs="仿宋_GB2312"/>
          <w:color w:val="333333"/>
          <w:kern w:val="0"/>
          <w:sz w:val="32"/>
          <w:szCs w:val="32"/>
          <w:shd w:val="clear" w:fill="FFFFFF"/>
          <w:lang w:val="en-US" w:eastAsia="zh-CN" w:bidi="ar"/>
        </w:rPr>
        <w:t>主动公开不及时，少数部门对信息公开不及时，片面认为本单位制作或获取的信息是保密信息，公开内容不细致，更新不及时，主动公开的积极性不够高，公开信息的数量和质量需要提高；信息公开宣传教育培训工作有待加强；长效工作机制建设需要完善，特别是在信息公开更新维护、规范、监督约束等方面的工作机制不够健全。</w:t>
      </w:r>
    </w:p>
    <w:p>
      <w:pPr>
        <w:pStyle w:val="2"/>
        <w:keepNext w:val="0"/>
        <w:keepLines w:val="0"/>
        <w:widowControl/>
        <w:suppressLineNumbers w:val="0"/>
        <w:shd w:val="clear" w:fill="FFFFFF"/>
        <w:autoSpaceDE w:val="0"/>
        <w:autoSpaceDN/>
        <w:spacing w:before="0" w:beforeAutospacing="0" w:after="0" w:afterAutospacing="0" w:line="560" w:lineRule="exact"/>
        <w:ind w:left="0" w:right="0" w:firstLine="640" w:firstLineChars="200"/>
        <w:jc w:val="both"/>
      </w:pPr>
      <w:r>
        <w:rPr>
          <w:rFonts w:hint="eastAsia" w:ascii="楷体_GB2312" w:hAnsi="楷体" w:eastAsia="楷体_GB2312" w:cs="楷体_GB2312"/>
          <w:color w:val="333333"/>
          <w:kern w:val="0"/>
          <w:sz w:val="32"/>
          <w:szCs w:val="32"/>
          <w:shd w:val="clear" w:fill="FFFFFF"/>
          <w:lang w:val="en-US" w:eastAsia="zh-CN" w:bidi="ar"/>
        </w:rPr>
        <w:t>（二）改进措施</w:t>
      </w:r>
    </w:p>
    <w:p>
      <w:pPr>
        <w:pStyle w:val="2"/>
        <w:keepNext w:val="0"/>
        <w:keepLines w:val="0"/>
        <w:widowControl/>
        <w:suppressLineNumbers w:val="0"/>
        <w:shd w:val="clear" w:fill="FFFFFF"/>
        <w:autoSpaceDE w:val="0"/>
        <w:autoSpaceDN/>
        <w:spacing w:before="0" w:beforeAutospacing="0" w:after="0" w:afterAutospacing="0" w:line="560" w:lineRule="exact"/>
        <w:ind w:left="0" w:right="0" w:firstLine="640" w:firstLineChars="200"/>
        <w:jc w:val="both"/>
      </w:pPr>
      <w:r>
        <w:rPr>
          <w:rFonts w:hint="eastAsia" w:ascii="仿宋_GB2312" w:hAnsi="宋体" w:eastAsia="仿宋_GB2312" w:cs="仿宋_GB2312"/>
          <w:color w:val="333333"/>
          <w:kern w:val="0"/>
          <w:sz w:val="32"/>
          <w:szCs w:val="32"/>
          <w:shd w:val="clear" w:fill="FFFFFF"/>
          <w:lang w:val="en-US" w:eastAsia="zh-CN" w:bidi="ar"/>
        </w:rPr>
        <w:t>一是进一步做好政府信息公开基础性工作。完善主动公开的政府信息目录，进一步补充、完善政府信息数据库，加强对公众关注度高的政府信息的规范梳理；二是进一步强化宣传培训，提高政府信息公开工作人员的素质和能力。多方位开展各种形式的宣传活动，提高公众对政府信息公开的知情度和参与度；加强政府信息公开业务学习和培训，不断提升政府信息公开整体工作水平。三是建立长效工作机制。制定完善政府信息公开管理规定，建立科学统计、考核评估、监督检查、培训宣传等工作机制，确保政府信息公开工作持续、深入、高效开展。</w:t>
      </w:r>
    </w:p>
    <w:p>
      <w:pPr>
        <w:pStyle w:val="2"/>
        <w:keepNext w:val="0"/>
        <w:keepLines w:val="0"/>
        <w:widowControl/>
        <w:suppressLineNumbers w:val="0"/>
        <w:shd w:val="clear" w:fill="FFFFFF"/>
        <w:autoSpaceDE w:val="0"/>
        <w:autoSpaceDN/>
        <w:spacing w:before="0" w:beforeAutospacing="0" w:after="0" w:afterAutospacing="0" w:line="560" w:lineRule="exact"/>
        <w:ind w:left="0" w:right="0" w:firstLine="640" w:firstLineChars="200"/>
        <w:jc w:val="both"/>
      </w:pPr>
      <w:r>
        <w:rPr>
          <w:rFonts w:ascii="黑体" w:hAnsi="宋体" w:eastAsia="黑体" w:cs="黑体"/>
          <w:color w:val="333333"/>
          <w:kern w:val="0"/>
          <w:sz w:val="32"/>
          <w:szCs w:val="32"/>
          <w:shd w:val="clear" w:fill="FFFFFF"/>
          <w:lang w:val="en-US" w:eastAsia="zh-CN" w:bidi="ar"/>
        </w:rPr>
        <w:t>六、其他需要报告的事项</w:t>
      </w:r>
    </w:p>
    <w:p>
      <w:pPr>
        <w:pStyle w:val="2"/>
        <w:keepNext w:val="0"/>
        <w:keepLines w:val="0"/>
        <w:widowControl/>
        <w:suppressLineNumbers w:val="0"/>
        <w:shd w:val="clear" w:fill="FFFFFF"/>
        <w:autoSpaceDE w:val="0"/>
        <w:autoSpaceDN/>
        <w:spacing w:before="0" w:beforeAutospacing="0" w:after="0" w:afterAutospacing="0" w:line="560" w:lineRule="exact"/>
        <w:ind w:left="0" w:right="0" w:firstLine="640" w:firstLineChars="200"/>
        <w:jc w:val="both"/>
      </w:pPr>
      <w:r>
        <w:rPr>
          <w:rFonts w:hint="eastAsia" w:ascii="楷体_GB2312" w:hAnsi="宋体" w:eastAsia="楷体_GB2312" w:cs="楷体_GB2312"/>
          <w:color w:val="333333"/>
          <w:kern w:val="0"/>
          <w:sz w:val="32"/>
          <w:szCs w:val="32"/>
          <w:shd w:val="clear" w:fill="FFFFFF"/>
          <w:lang w:val="en-US" w:eastAsia="zh-CN" w:bidi="ar"/>
        </w:rPr>
        <w:t>无</w:t>
      </w:r>
    </w:p>
    <w:p>
      <w:pPr>
        <w:keepNext w:val="0"/>
        <w:keepLines w:val="0"/>
        <w:widowControl/>
        <w:suppressLineNumbers w:val="0"/>
        <w:spacing w:before="0" w:beforeAutospacing="0" w:after="0" w:afterAutospacing="0" w:line="15" w:lineRule="atLeast"/>
        <w:ind w:left="0" w:right="0" w:firstLine="0"/>
        <w:jc w:val="left"/>
        <w:rPr>
          <w:rFonts w:hint="eastAsia" w:ascii="宋体" w:hAnsi="宋体" w:eastAsia="宋体" w:cs="宋体"/>
          <w:i w:val="0"/>
          <w:caps w:val="0"/>
          <w:color w:val="000000"/>
          <w:spacing w:val="0"/>
          <w:sz w:val="24"/>
          <w:szCs w:val="24"/>
        </w:rPr>
      </w:pPr>
      <w:r>
        <w:rPr>
          <w:rFonts w:hint="default" w:ascii="Calibri" w:hAnsi="Calibri" w:eastAsia="宋体" w:cs="Calibri"/>
          <w:i w:val="0"/>
          <w:caps w:val="0"/>
          <w:color w:val="000000"/>
          <w:spacing w:val="0"/>
          <w:kern w:val="0"/>
          <w:sz w:val="21"/>
          <w:szCs w:val="21"/>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6C4AE"/>
    <w:multiLevelType w:val="singleLevel"/>
    <w:tmpl w:val="A216C4AE"/>
    <w:lvl w:ilvl="0" w:tentative="0">
      <w:start w:val="1"/>
      <w:numFmt w:val="chineseCounting"/>
      <w:suff w:val="nothing"/>
      <w:lvlText w:val="（%1）"/>
      <w:lvlJc w:val="left"/>
      <w:rPr>
        <w:rFonts w:hint="eastAsia"/>
      </w:rPr>
    </w:lvl>
  </w:abstractNum>
  <w:abstractNum w:abstractNumId="1">
    <w:nsid w:val="E5C35ECC"/>
    <w:multiLevelType w:val="singleLevel"/>
    <w:tmpl w:val="E5C35EC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E26A3"/>
    <w:rsid w:val="002E5CAE"/>
    <w:rsid w:val="2B7E26A3"/>
    <w:rsid w:val="2E75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2020-06-28T02:48:00Z</dcterms:created>
  <dc:creator>tt</dc:creator>
  <cp:lastModifiedBy>admin</cp:lastModifiedBy>
  <dcterms:modified xsi:type="dcterms:W3CDTF">2021-09-26T02:26:55Z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C16B9E032D8E4A0BB6EA99C8DE051D0B</vt:lpwstr>
  </property>
</Properties>
</file>