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星标宋" w:eastAsia="文星标宋"/>
          <w:b/>
          <w:sz w:val="44"/>
          <w:szCs w:val="44"/>
        </w:rPr>
      </w:pPr>
      <w:r>
        <w:rPr>
          <w:rFonts w:hint="eastAsia" w:ascii="文星标宋" w:eastAsia="文星标宋"/>
          <w:b/>
          <w:sz w:val="44"/>
          <w:szCs w:val="44"/>
        </w:rPr>
        <w:t>昌乐县退役军人事务局</w:t>
      </w:r>
    </w:p>
    <w:p>
      <w:pPr>
        <w:jc w:val="center"/>
        <w:rPr>
          <w:rFonts w:ascii="文星标宋" w:eastAsia="文星标宋"/>
          <w:b/>
          <w:sz w:val="44"/>
          <w:szCs w:val="44"/>
        </w:rPr>
      </w:pPr>
      <w:r>
        <w:rPr>
          <w:rFonts w:hint="eastAsia" w:ascii="文星标宋" w:eastAsia="文星标宋"/>
          <w:b/>
          <w:sz w:val="44"/>
          <w:szCs w:val="44"/>
        </w:rPr>
        <w:t>2020年政府信息公开工作年度报告</w:t>
      </w:r>
    </w:p>
    <w:p>
      <w:pPr>
        <w:ind w:left="640" w:hanging="640" w:hangingChars="200"/>
        <w:jc w:val="center"/>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 xml:space="preserve">根据《中华人民共和国政府信息公开条例》《山东省政府信息公开办法》《昌乐县人民政府办公室关于做好2020年政府信息公开工作年度报告编制发布和报送工作的通知》要求及相关规定，结合我局实际，编制并向社会公布《昌乐县退役军人事务局2020年信息公开工作年度报告》。本报告由总体工作开展情况、主动公开政府信息情况、收到和处理政府信息公开申请情况、政府信息公开行政复议和行政诉讼情况、存在的主要问题及改进情况、其他需要报告的事项等五个部分组成，报告中所列数据的统计期限自2020年1月1日起，至2020年12月31日止。如对本报告有任何疑问，请与昌乐县退役军人事务局联系（地址：新昌路1357号城投大厦8楼；邮编：262400；电话：0536-6291300。) </w:t>
      </w:r>
    </w:p>
    <w:p>
      <w:pPr>
        <w:widowControl/>
        <w:shd w:val="clear" w:color="auto" w:fill="FFFFFF"/>
        <w:ind w:firstLine="643"/>
        <w:jc w:val="left"/>
        <w:rPr>
          <w:rFonts w:ascii="黑体" w:hAnsi="黑体" w:eastAsia="黑体" w:cs="宋体"/>
          <w:color w:val="333333"/>
          <w:kern w:val="0"/>
          <w:sz w:val="24"/>
        </w:rPr>
      </w:pPr>
      <w:r>
        <w:rPr>
          <w:rFonts w:hint="eastAsia" w:ascii="黑体" w:hAnsi="黑体" w:eastAsia="黑体" w:cs="宋体"/>
          <w:b/>
          <w:bCs/>
          <w:color w:val="333333"/>
          <w:kern w:val="0"/>
          <w:sz w:val="32"/>
          <w:szCs w:val="32"/>
        </w:rPr>
        <w:t>一、总体情况</w:t>
      </w:r>
    </w:p>
    <w:p>
      <w:pPr>
        <w:ind w:firstLine="640" w:firstLineChars="200"/>
        <w:rPr>
          <w:rFonts w:ascii="仿宋_GB2312" w:eastAsia="仿宋_GB2312"/>
          <w:sz w:val="32"/>
          <w:szCs w:val="32"/>
        </w:rPr>
      </w:pPr>
      <w:r>
        <w:rPr>
          <w:rFonts w:hint="eastAsia" w:ascii="仿宋_GB2312" w:eastAsia="仿宋_GB2312"/>
          <w:sz w:val="32"/>
          <w:szCs w:val="32"/>
        </w:rPr>
        <w:t>2020年，我局严格按照“公正、公平、便民”的总体原则和“真实有效、及时准确、合法规范”的总体要求，认真贯彻落实《中华人民共和国政府信息公开条例》，把政府信息公开工作作为建设服务政府、透明政府、阳光政府的重要举措，切实推进了我局信息公开工作。</w:t>
      </w:r>
    </w:p>
    <w:p>
      <w:pPr>
        <w:widowControl/>
        <w:shd w:val="clear" w:color="auto" w:fill="FFFFFF"/>
        <w:ind w:firstLine="640"/>
        <w:jc w:val="left"/>
        <w:rPr>
          <w:rFonts w:ascii="楷体_GB2312" w:eastAsia="楷体_GB2312"/>
          <w:b/>
          <w:bCs/>
          <w:sz w:val="32"/>
          <w:szCs w:val="32"/>
        </w:rPr>
      </w:pPr>
      <w:r>
        <w:rPr>
          <w:rFonts w:hint="eastAsia" w:ascii="楷体_GB2312" w:eastAsia="楷体_GB2312"/>
          <w:b/>
          <w:bCs/>
          <w:sz w:val="32"/>
          <w:szCs w:val="32"/>
        </w:rPr>
        <w:t>（一）主动公开情况</w:t>
      </w:r>
    </w:p>
    <w:p>
      <w:pPr>
        <w:widowControl/>
        <w:shd w:val="clear" w:color="auto" w:fill="FFFFFF"/>
        <w:ind w:firstLine="640"/>
        <w:jc w:val="left"/>
        <w:rPr>
          <w:rFonts w:ascii="仿宋_GB2312" w:eastAsia="仿宋_GB2312"/>
          <w:sz w:val="32"/>
          <w:szCs w:val="32"/>
        </w:rPr>
      </w:pPr>
      <w:r>
        <w:rPr>
          <w:rFonts w:hint="eastAsia" w:ascii="仿宋_GB2312" w:eastAsia="仿宋_GB2312"/>
          <w:sz w:val="32"/>
          <w:szCs w:val="32"/>
        </w:rPr>
        <w:t>政府信息公开工作开展以来，我局认真贯彻落实《中华人民共和国政府信息公开</w:t>
      </w:r>
      <w:bookmarkStart w:id="0" w:name="_GoBack"/>
      <w:bookmarkEnd w:id="0"/>
      <w:r>
        <w:rPr>
          <w:rFonts w:hint="eastAsia" w:ascii="仿宋_GB2312" w:eastAsia="仿宋_GB2312"/>
          <w:sz w:val="32"/>
          <w:szCs w:val="32"/>
        </w:rPr>
        <w:t>条例》精神,按照昌乐县相关文件要求,切实加强组织领导,明确目标任务,落实工作责任,有力地促进了信息公开工作的开展。结合我局实际,制定了政府信息公开目录及政府信息公开指南，明确了政府信息公开工作的指导思想和工作目标,制定实施步骤,细化各阶段的工作重点，强化各科室职责分工,保证信息公开作的稳步推进和有序开展。</w:t>
      </w:r>
    </w:p>
    <w:p>
      <w:pPr>
        <w:widowControl/>
        <w:shd w:val="clear" w:color="auto" w:fill="FFFFFF"/>
        <w:rPr>
          <w:rFonts w:ascii="仿宋_GB2312" w:eastAsia="仿宋_GB2312"/>
          <w:sz w:val="32"/>
          <w:szCs w:val="32"/>
        </w:rPr>
      </w:pPr>
      <w:r>
        <w:rPr>
          <w:rFonts w:hint="eastAsia" w:ascii="仿宋_GB2312" w:eastAsia="仿宋_GB2312"/>
          <w:sz w:val="32"/>
          <w:szCs w:val="32"/>
        </w:rPr>
        <w:drawing>
          <wp:inline distT="0" distB="0" distL="0" distR="0">
            <wp:extent cx="5661025" cy="3267710"/>
            <wp:effectExtent l="19050" t="0" r="0" b="0"/>
            <wp:docPr id="1" name="图片 0" descr="6、政务公开截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6、政务公开截图.png"/>
                    <pic:cNvPicPr>
                      <a:picLocks noChangeAspect="1"/>
                    </pic:cNvPicPr>
                  </pic:nvPicPr>
                  <pic:blipFill>
                    <a:blip r:embed="rId4"/>
                    <a:stretch>
                      <a:fillRect/>
                    </a:stretch>
                  </pic:blipFill>
                  <pic:spPr>
                    <a:xfrm>
                      <a:off x="0" y="0"/>
                      <a:ext cx="5664786" cy="3270250"/>
                    </a:xfrm>
                    <a:prstGeom prst="rect">
                      <a:avLst/>
                    </a:prstGeom>
                  </pic:spPr>
                </pic:pic>
              </a:graphicData>
            </a:graphic>
          </wp:inline>
        </w:drawing>
      </w:r>
    </w:p>
    <w:p>
      <w:pPr>
        <w:widowControl/>
        <w:shd w:val="clear" w:color="auto" w:fill="FFFFFF"/>
        <w:ind w:firstLine="640"/>
        <w:jc w:val="left"/>
        <w:rPr>
          <w:rFonts w:ascii="楷体_GB2312" w:eastAsia="楷体_GB2312"/>
          <w:b/>
          <w:bCs/>
          <w:sz w:val="32"/>
          <w:szCs w:val="32"/>
        </w:rPr>
      </w:pPr>
      <w:r>
        <w:rPr>
          <w:rFonts w:hint="eastAsia" w:ascii="楷体_GB2312" w:eastAsia="楷体_GB2312"/>
          <w:b/>
          <w:bCs/>
          <w:sz w:val="32"/>
          <w:szCs w:val="32"/>
        </w:rPr>
        <w:t>（二）依申请公开情况</w:t>
      </w:r>
    </w:p>
    <w:p>
      <w:pPr>
        <w:widowControl/>
        <w:shd w:val="clear" w:color="auto" w:fill="FFFFFF"/>
        <w:ind w:firstLine="640"/>
        <w:jc w:val="left"/>
        <w:rPr>
          <w:rFonts w:ascii="仿宋_GB2312" w:eastAsia="仿宋_GB2312"/>
          <w:sz w:val="32"/>
          <w:szCs w:val="32"/>
        </w:rPr>
      </w:pPr>
      <w:r>
        <w:rPr>
          <w:rFonts w:hint="eastAsia" w:ascii="仿宋_GB2312" w:eastAsia="仿宋_GB2312"/>
          <w:sz w:val="32"/>
          <w:szCs w:val="32"/>
        </w:rPr>
        <w:t>今年以来，积极参加县政务公开办组织的新修订政府信息公开条例宣传培训活动，学习掌握依申请公开的标准和要求，本年度我局未收到依申请公开相关信息。</w:t>
      </w:r>
    </w:p>
    <w:p>
      <w:pPr>
        <w:widowControl/>
        <w:shd w:val="clear" w:color="auto" w:fill="FFFFFF"/>
        <w:ind w:firstLine="640"/>
        <w:jc w:val="left"/>
        <w:rPr>
          <w:rFonts w:ascii="楷体_GB2312" w:eastAsia="楷体_GB2312"/>
          <w:b/>
          <w:bCs/>
          <w:sz w:val="32"/>
          <w:szCs w:val="32"/>
        </w:rPr>
      </w:pPr>
      <w:r>
        <w:rPr>
          <w:rFonts w:hint="eastAsia" w:ascii="楷体_GB2312" w:eastAsia="楷体_GB2312"/>
          <w:b/>
          <w:bCs/>
          <w:sz w:val="32"/>
          <w:szCs w:val="32"/>
        </w:rPr>
        <w:t>（三）政府信息管理情况</w:t>
      </w:r>
    </w:p>
    <w:p>
      <w:pPr>
        <w:widowControl/>
        <w:shd w:val="clear" w:color="auto" w:fill="FFFFFF"/>
        <w:ind w:firstLine="640"/>
        <w:jc w:val="left"/>
        <w:rPr>
          <w:rFonts w:ascii="仿宋_GB2312" w:eastAsia="仿宋_GB2312"/>
          <w:sz w:val="32"/>
          <w:szCs w:val="32"/>
        </w:rPr>
      </w:pPr>
      <w:r>
        <w:rPr>
          <w:rFonts w:hint="eastAsia" w:ascii="仿宋_GB2312" w:eastAsia="仿宋_GB2312"/>
          <w:sz w:val="32"/>
          <w:szCs w:val="32"/>
        </w:rPr>
        <w:t>严格执行信息发布审批制度，将网站（政府网站、部门网站）作为政府信息公开第一平台，突出公众需求，在退役军人医疗保险接续和相关政策等方面加大信息公开力度，积极主动发布信息，回应群众诉求，完善信息发布的审核、管理和流程，确保公开质量，提升政务公开水平。</w:t>
      </w:r>
    </w:p>
    <w:p>
      <w:pPr>
        <w:widowControl/>
        <w:shd w:val="clear" w:color="auto" w:fill="FFFFFF"/>
        <w:ind w:firstLine="640"/>
        <w:jc w:val="left"/>
        <w:rPr>
          <w:rFonts w:ascii="楷体_GB2312" w:eastAsia="楷体_GB2312"/>
          <w:b/>
          <w:bCs/>
          <w:sz w:val="32"/>
          <w:szCs w:val="32"/>
        </w:rPr>
      </w:pPr>
      <w:r>
        <w:rPr>
          <w:rFonts w:hint="eastAsia" w:ascii="楷体_GB2312" w:eastAsia="楷体_GB2312"/>
          <w:b/>
          <w:bCs/>
          <w:sz w:val="32"/>
          <w:szCs w:val="32"/>
        </w:rPr>
        <w:t>（四）平台建设情况</w:t>
      </w:r>
    </w:p>
    <w:p>
      <w:pPr>
        <w:widowControl/>
        <w:shd w:val="clear" w:color="auto" w:fill="FFFFFF"/>
        <w:ind w:firstLine="640"/>
        <w:jc w:val="left"/>
        <w:rPr>
          <w:rFonts w:ascii="仿宋_GB2312" w:eastAsia="仿宋_GB2312"/>
          <w:sz w:val="32"/>
          <w:szCs w:val="32"/>
        </w:rPr>
      </w:pPr>
      <w:r>
        <w:rPr>
          <w:rFonts w:hint="eastAsia" w:ascii="仿宋_GB2312" w:eastAsia="仿宋_GB2312"/>
          <w:sz w:val="32"/>
          <w:szCs w:val="32"/>
        </w:rPr>
        <w:t>结合县政府信息公开目录调整的相关要求，多次前往县政务公开办跟班学习，按照标准设置目录，及时更新相关信息，进一步提高了平台的便民性和可读性。</w:t>
      </w:r>
    </w:p>
    <w:p>
      <w:pPr>
        <w:widowControl/>
        <w:shd w:val="clear" w:color="auto" w:fill="FFFFFF"/>
        <w:ind w:firstLine="640"/>
        <w:jc w:val="left"/>
        <w:rPr>
          <w:rFonts w:ascii="楷体_GB2312" w:eastAsia="楷体_GB2312"/>
          <w:b/>
          <w:bCs/>
          <w:sz w:val="32"/>
          <w:szCs w:val="32"/>
        </w:rPr>
      </w:pPr>
      <w:r>
        <w:rPr>
          <w:rFonts w:hint="eastAsia" w:ascii="楷体_GB2312" w:eastAsia="楷体_GB2312"/>
          <w:b/>
          <w:bCs/>
          <w:sz w:val="32"/>
          <w:szCs w:val="32"/>
        </w:rPr>
        <w:t>（五）监督保障情况</w:t>
      </w:r>
    </w:p>
    <w:p>
      <w:pPr>
        <w:widowControl/>
        <w:shd w:val="clear" w:color="auto" w:fill="FFFFFF"/>
        <w:ind w:firstLine="640"/>
        <w:jc w:val="left"/>
        <w:rPr>
          <w:rFonts w:ascii="仿宋_GB2312" w:eastAsia="仿宋_GB2312"/>
          <w:sz w:val="32"/>
          <w:szCs w:val="32"/>
        </w:rPr>
      </w:pPr>
      <w:r>
        <w:rPr>
          <w:rFonts w:hint="eastAsia" w:ascii="仿宋_GB2312" w:eastAsia="仿宋_GB2312"/>
          <w:sz w:val="32"/>
          <w:szCs w:val="32"/>
        </w:rPr>
        <w:t>我局高度重视政府信息公开工作，建立了“主要领导主动抓，分管领导具体抓，各科室各司其职，办公室协调办理”的领导体制和工作机制。调整充实了政府信息公开领导小组，由分管领导担任领导小组组长，局办公室主任为副组长，相关科室负责人为成员。由局办公室牵头，各科室负责人对本科室的信息公开工作负责，做到有领导分管、有工作人员负责，建立健全了工作机制，为做好政府信息公开工作提供了组织保障，确保了我局信息公开工作的顺利开展。</w:t>
      </w:r>
    </w:p>
    <w:p>
      <w:pPr>
        <w:widowControl/>
        <w:shd w:val="clear" w:color="auto" w:fill="FFFFFF"/>
        <w:ind w:firstLine="640"/>
        <w:jc w:val="left"/>
        <w:rPr>
          <w:rFonts w:ascii="宋体" w:hAnsi="宋体" w:cs="宋体"/>
          <w:kern w:val="0"/>
          <w:szCs w:val="21"/>
        </w:rPr>
      </w:pPr>
      <w:r>
        <w:rPr>
          <w:rFonts w:hint="eastAsia" w:ascii="楷体_GB2312" w:hAnsi="宋体" w:eastAsia="楷体_GB2312" w:cs="宋体"/>
          <w:b/>
          <w:bCs/>
          <w:kern w:val="0"/>
          <w:sz w:val="32"/>
          <w:szCs w:val="32"/>
        </w:rPr>
        <w:t>（六）建议提案办理结果公开情况</w:t>
      </w:r>
    </w:p>
    <w:p>
      <w:pPr>
        <w:widowControl/>
        <w:shd w:val="clear" w:color="auto" w:fill="FFFFFF"/>
        <w:ind w:firstLine="640"/>
        <w:jc w:val="left"/>
        <w:rPr>
          <w:rFonts w:ascii="仿宋_GB2312" w:eastAsia="仿宋_GB2312"/>
          <w:sz w:val="32"/>
          <w:szCs w:val="32"/>
        </w:rPr>
      </w:pPr>
      <w:r>
        <w:rPr>
          <w:rFonts w:hint="eastAsia" w:ascii="仿宋_GB2312" w:eastAsia="仿宋_GB2312"/>
          <w:sz w:val="32"/>
          <w:szCs w:val="32"/>
        </w:rPr>
        <w:t>2020年，我局未收到人大代表建议和政协委员提案。</w:t>
      </w:r>
    </w:p>
    <w:p>
      <w:pPr>
        <w:widowControl/>
        <w:shd w:val="clear" w:color="auto" w:fill="FFFFFF"/>
        <w:ind w:firstLine="640"/>
        <w:jc w:val="left"/>
        <w:rPr>
          <w:rFonts w:ascii="楷体_GB2312" w:eastAsia="楷体_GB2312"/>
          <w:b/>
          <w:bCs/>
          <w:sz w:val="32"/>
          <w:szCs w:val="32"/>
        </w:rPr>
      </w:pPr>
      <w:r>
        <w:rPr>
          <w:rFonts w:hint="eastAsia" w:ascii="楷体_GB2312" w:eastAsia="楷体_GB2312"/>
          <w:b/>
          <w:bCs/>
          <w:sz w:val="32"/>
          <w:szCs w:val="32"/>
        </w:rPr>
        <w:t>（七）机构建设及人员配置情况</w:t>
      </w:r>
    </w:p>
    <w:p>
      <w:pPr>
        <w:widowControl/>
        <w:shd w:val="clear" w:color="auto" w:fill="FFFFFF"/>
        <w:ind w:firstLine="640"/>
        <w:jc w:val="left"/>
        <w:rPr>
          <w:rFonts w:ascii="仿宋_GB2312" w:eastAsia="仿宋_GB2312"/>
          <w:sz w:val="32"/>
          <w:szCs w:val="32"/>
        </w:rPr>
      </w:pPr>
      <w:r>
        <w:rPr>
          <w:rFonts w:hint="eastAsia" w:ascii="仿宋_GB2312" w:eastAsia="仿宋_GB2312"/>
          <w:sz w:val="32"/>
          <w:szCs w:val="32"/>
        </w:rPr>
        <w:t>按照机构改革要求，结合结合我局工作实际和内部科室调整情况，及时调整系统政务公开领导小组和政务公开专职人员，同时，局机关各科室（局属事业单位）将信息公开工作纳入科室工作绩效考核。</w:t>
      </w:r>
    </w:p>
    <w:p>
      <w:pPr>
        <w:ind w:firstLine="643" w:firstLineChars="200"/>
        <w:rPr>
          <w:rFonts w:ascii="黑体" w:hAnsi="黑体" w:eastAsia="黑体"/>
          <w:b/>
          <w:sz w:val="32"/>
          <w:szCs w:val="32"/>
        </w:rPr>
      </w:pPr>
      <w:r>
        <w:rPr>
          <w:rFonts w:hint="eastAsia" w:ascii="黑体" w:hAnsi="黑体" w:eastAsia="黑体"/>
          <w:b/>
          <w:sz w:val="32"/>
          <w:szCs w:val="32"/>
        </w:rPr>
        <w:t>二、主动公开政府信息情况</w:t>
      </w:r>
    </w:p>
    <w:tbl>
      <w:tblPr>
        <w:tblStyle w:val="6"/>
        <w:tblW w:w="8486"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895"/>
        <w:gridCol w:w="2088"/>
        <w:gridCol w:w="1414"/>
        <w:gridCol w:w="2089"/>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8486" w:type="dxa"/>
            <w:gridSpan w:val="4"/>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第二十条第（一）项</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2895"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信息内容</w:t>
            </w:r>
          </w:p>
        </w:tc>
        <w:tc>
          <w:tcPr>
            <w:tcW w:w="2088"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本年新</w:t>
            </w:r>
            <w:r>
              <w:rPr>
                <w:rFonts w:hint="eastAsia" w:ascii="宋体" w:hAnsi="宋体" w:cs="宋体"/>
                <w:color w:val="333333"/>
                <w:kern w:val="0"/>
                <w:sz w:val="24"/>
              </w:rPr>
              <w:br w:type="textWrapping"/>
            </w:r>
            <w:r>
              <w:rPr>
                <w:rFonts w:hint="eastAsia" w:ascii="宋体" w:hAnsi="宋体" w:cs="宋体"/>
                <w:color w:val="333333"/>
                <w:kern w:val="0"/>
                <w:sz w:val="24"/>
              </w:rPr>
              <w:t>制作数量</w:t>
            </w:r>
          </w:p>
        </w:tc>
        <w:tc>
          <w:tcPr>
            <w:tcW w:w="141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本年新</w:t>
            </w:r>
            <w:r>
              <w:rPr>
                <w:rFonts w:hint="eastAsia" w:ascii="宋体" w:hAnsi="宋体" w:cs="宋体"/>
                <w:color w:val="333333"/>
                <w:kern w:val="0"/>
                <w:sz w:val="24"/>
              </w:rPr>
              <w:br w:type="textWrapping"/>
            </w:r>
            <w:r>
              <w:rPr>
                <w:rFonts w:hint="eastAsia" w:ascii="宋体" w:hAnsi="宋体" w:cs="宋体"/>
                <w:color w:val="333333"/>
                <w:kern w:val="0"/>
                <w:sz w:val="24"/>
              </w:rPr>
              <w:t>公开数量</w:t>
            </w:r>
          </w:p>
        </w:tc>
        <w:tc>
          <w:tcPr>
            <w:tcW w:w="208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对外公开总数量</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2895"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规章</w:t>
            </w:r>
          </w:p>
        </w:tc>
        <w:tc>
          <w:tcPr>
            <w:tcW w:w="2088"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141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208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2895"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规范性文件</w:t>
            </w:r>
          </w:p>
        </w:tc>
        <w:tc>
          <w:tcPr>
            <w:tcW w:w="2088"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141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208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8486" w:type="dxa"/>
            <w:gridSpan w:val="4"/>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第二十条第（五）项</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2895"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信息内容</w:t>
            </w:r>
          </w:p>
        </w:tc>
        <w:tc>
          <w:tcPr>
            <w:tcW w:w="2088"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上一年项目数量</w:t>
            </w:r>
          </w:p>
        </w:tc>
        <w:tc>
          <w:tcPr>
            <w:tcW w:w="141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本年增/减</w:t>
            </w:r>
          </w:p>
        </w:tc>
        <w:tc>
          <w:tcPr>
            <w:tcW w:w="208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处理决定数量</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2895"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行政许可</w:t>
            </w:r>
          </w:p>
        </w:tc>
        <w:tc>
          <w:tcPr>
            <w:tcW w:w="2088"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141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208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2895"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其他对外管理服务事项</w:t>
            </w:r>
          </w:p>
        </w:tc>
        <w:tc>
          <w:tcPr>
            <w:tcW w:w="2088"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hint="eastAsia" w:ascii="宋体" w:hAnsi="宋体" w:cs="宋体" w:eastAsiaTheme="minorEastAsia"/>
                <w:color w:val="333333"/>
                <w:kern w:val="0"/>
                <w:sz w:val="24"/>
                <w:lang w:val="en-US" w:eastAsia="zh-CN"/>
              </w:rPr>
            </w:pPr>
            <w:r>
              <w:rPr>
                <w:rFonts w:hint="eastAsia" w:ascii="宋体" w:hAnsi="宋体" w:cs="宋体"/>
                <w:color w:val="333333"/>
                <w:kern w:val="0"/>
                <w:sz w:val="24"/>
                <w:lang w:val="en-US" w:eastAsia="zh-CN"/>
              </w:rPr>
              <w:t>31</w:t>
            </w:r>
          </w:p>
        </w:tc>
        <w:tc>
          <w:tcPr>
            <w:tcW w:w="141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208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8486" w:type="dxa"/>
            <w:gridSpan w:val="4"/>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第二十条第（六）项</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2895"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信息内容</w:t>
            </w:r>
          </w:p>
        </w:tc>
        <w:tc>
          <w:tcPr>
            <w:tcW w:w="2088"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上一年项目数量</w:t>
            </w:r>
          </w:p>
        </w:tc>
        <w:tc>
          <w:tcPr>
            <w:tcW w:w="141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本年增/减</w:t>
            </w:r>
          </w:p>
        </w:tc>
        <w:tc>
          <w:tcPr>
            <w:tcW w:w="208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处理决定数量</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2895"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行政处罚</w:t>
            </w:r>
          </w:p>
        </w:tc>
        <w:tc>
          <w:tcPr>
            <w:tcW w:w="2088"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hint="eastAsia" w:ascii="宋体" w:hAnsi="宋体" w:cs="宋体" w:eastAsiaTheme="minorEastAsia"/>
                <w:color w:val="333333"/>
                <w:kern w:val="0"/>
                <w:sz w:val="24"/>
                <w:lang w:eastAsia="zh-CN"/>
              </w:rPr>
            </w:pPr>
            <w:r>
              <w:rPr>
                <w:rFonts w:hint="eastAsia" w:ascii="宋体" w:hAnsi="宋体" w:cs="宋体"/>
                <w:color w:val="333333"/>
                <w:kern w:val="0"/>
                <w:sz w:val="24"/>
                <w:lang w:val="en-US" w:eastAsia="zh-CN"/>
              </w:rPr>
              <w:t>4</w:t>
            </w:r>
          </w:p>
        </w:tc>
        <w:tc>
          <w:tcPr>
            <w:tcW w:w="141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hint="eastAsia" w:ascii="宋体" w:hAnsi="宋体" w:cs="宋体" w:eastAsiaTheme="minorEastAsia"/>
                <w:color w:val="333333"/>
                <w:kern w:val="0"/>
                <w:sz w:val="24"/>
                <w:lang w:eastAsia="zh-CN"/>
              </w:rPr>
            </w:pPr>
            <w:r>
              <w:rPr>
                <w:rFonts w:hint="eastAsia" w:ascii="宋体" w:hAnsi="宋体" w:cs="宋体"/>
                <w:color w:val="333333"/>
                <w:kern w:val="0"/>
                <w:sz w:val="24"/>
                <w:lang w:val="en-US" w:eastAsia="zh-CN"/>
              </w:rPr>
              <w:t>0</w:t>
            </w:r>
          </w:p>
        </w:tc>
        <w:tc>
          <w:tcPr>
            <w:tcW w:w="208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2895"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行政强制</w:t>
            </w:r>
          </w:p>
        </w:tc>
        <w:tc>
          <w:tcPr>
            <w:tcW w:w="2088"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141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208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8486" w:type="dxa"/>
            <w:gridSpan w:val="4"/>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第二十条第（八）项</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2895"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信息内容</w:t>
            </w:r>
          </w:p>
        </w:tc>
        <w:tc>
          <w:tcPr>
            <w:tcW w:w="2088"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上一年项目数量</w:t>
            </w:r>
          </w:p>
        </w:tc>
        <w:tc>
          <w:tcPr>
            <w:tcW w:w="3503" w:type="dxa"/>
            <w:gridSpan w:val="2"/>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本年增/减</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2895"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行政事业性收费</w:t>
            </w:r>
          </w:p>
        </w:tc>
        <w:tc>
          <w:tcPr>
            <w:tcW w:w="2088"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3503" w:type="dxa"/>
            <w:gridSpan w:val="2"/>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8486" w:type="dxa"/>
            <w:gridSpan w:val="4"/>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第二十条第（九）项</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2895"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信息内容</w:t>
            </w:r>
          </w:p>
        </w:tc>
        <w:tc>
          <w:tcPr>
            <w:tcW w:w="2088"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采购项目数量</w:t>
            </w:r>
          </w:p>
        </w:tc>
        <w:tc>
          <w:tcPr>
            <w:tcW w:w="3503" w:type="dxa"/>
            <w:gridSpan w:val="2"/>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采购总金额</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2895"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政府集中采购</w:t>
            </w:r>
          </w:p>
        </w:tc>
        <w:tc>
          <w:tcPr>
            <w:tcW w:w="2088"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3503" w:type="dxa"/>
            <w:gridSpan w:val="2"/>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bl>
    <w:p>
      <w:pPr>
        <w:ind w:firstLine="643" w:firstLineChars="200"/>
        <w:rPr>
          <w:rFonts w:ascii="黑体" w:hAnsi="黑体" w:eastAsia="黑体"/>
          <w:b/>
          <w:sz w:val="32"/>
          <w:szCs w:val="32"/>
        </w:rPr>
      </w:pPr>
      <w:r>
        <w:rPr>
          <w:rFonts w:hint="eastAsia" w:ascii="黑体" w:hAnsi="黑体" w:eastAsia="黑体"/>
          <w:b/>
          <w:sz w:val="32"/>
          <w:szCs w:val="32"/>
        </w:rPr>
        <w:t>三、收到和处理政府信息公开申请情况</w:t>
      </w:r>
    </w:p>
    <w:tbl>
      <w:tblPr>
        <w:tblStyle w:val="6"/>
        <w:tblW w:w="8321" w:type="dxa"/>
        <w:tblInd w:w="82"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122"/>
        <w:gridCol w:w="957"/>
        <w:gridCol w:w="2343"/>
        <w:gridCol w:w="433"/>
        <w:gridCol w:w="544"/>
        <w:gridCol w:w="544"/>
        <w:gridCol w:w="769"/>
        <w:gridCol w:w="769"/>
        <w:gridCol w:w="420"/>
        <w:gridCol w:w="420"/>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4422" w:type="dxa"/>
            <w:gridSpan w:val="3"/>
            <w:vMerge w:val="restart"/>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（本列数据的勾稽关系为：第一项加第二项之和，等于第三项加第四项之和）</w:t>
            </w:r>
          </w:p>
        </w:tc>
        <w:tc>
          <w:tcPr>
            <w:tcW w:w="3899" w:type="dxa"/>
            <w:gridSpan w:val="7"/>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申请人情况</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4422" w:type="dxa"/>
            <w:gridSpan w:val="3"/>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433" w:type="dxa"/>
            <w:vMerge w:val="restart"/>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自然人</w:t>
            </w:r>
          </w:p>
        </w:tc>
        <w:tc>
          <w:tcPr>
            <w:tcW w:w="3046" w:type="dxa"/>
            <w:gridSpan w:val="5"/>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法人或其他组织</w:t>
            </w:r>
          </w:p>
        </w:tc>
        <w:tc>
          <w:tcPr>
            <w:tcW w:w="420" w:type="dxa"/>
            <w:vMerge w:val="restart"/>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总计</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4422" w:type="dxa"/>
            <w:gridSpan w:val="3"/>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433"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商业企业</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科研机构</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社会公益组织</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法律服务机构</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其他</w:t>
            </w:r>
          </w:p>
        </w:tc>
        <w:tc>
          <w:tcPr>
            <w:tcW w:w="420"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4422" w:type="dxa"/>
            <w:gridSpan w:val="3"/>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一、本年新收政府信息公开申请数量</w:t>
            </w:r>
          </w:p>
        </w:tc>
        <w:tc>
          <w:tcPr>
            <w:tcW w:w="43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4422" w:type="dxa"/>
            <w:gridSpan w:val="3"/>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二、上年结转政府信息公开申请数量</w:t>
            </w:r>
          </w:p>
        </w:tc>
        <w:tc>
          <w:tcPr>
            <w:tcW w:w="43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1122" w:type="dxa"/>
            <w:vMerge w:val="restart"/>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三、本年度办理结果</w:t>
            </w:r>
          </w:p>
        </w:tc>
        <w:tc>
          <w:tcPr>
            <w:tcW w:w="3300" w:type="dxa"/>
            <w:gridSpan w:val="2"/>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（一）予以公开</w:t>
            </w:r>
          </w:p>
        </w:tc>
        <w:tc>
          <w:tcPr>
            <w:tcW w:w="43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1122"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3300" w:type="dxa"/>
            <w:gridSpan w:val="2"/>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（二）部分公开（区分处理的，只计这一情形，不计其他情形）</w:t>
            </w:r>
          </w:p>
        </w:tc>
        <w:tc>
          <w:tcPr>
            <w:tcW w:w="43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1122"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957" w:type="dxa"/>
            <w:vMerge w:val="restart"/>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（三）不予公开</w:t>
            </w:r>
          </w:p>
        </w:tc>
        <w:tc>
          <w:tcPr>
            <w:tcW w:w="234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1.属于国家秘密</w:t>
            </w:r>
          </w:p>
        </w:tc>
        <w:tc>
          <w:tcPr>
            <w:tcW w:w="43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1122"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957"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234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2.其他法律行政法规禁止公开</w:t>
            </w:r>
          </w:p>
        </w:tc>
        <w:tc>
          <w:tcPr>
            <w:tcW w:w="43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1122"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957"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234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3.危及“三安全一稳定”</w:t>
            </w:r>
          </w:p>
        </w:tc>
        <w:tc>
          <w:tcPr>
            <w:tcW w:w="43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1122"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957"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234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4.保护第三方合法权益</w:t>
            </w:r>
          </w:p>
        </w:tc>
        <w:tc>
          <w:tcPr>
            <w:tcW w:w="43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1122"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957"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234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5.属于三类内部事务信息</w:t>
            </w:r>
          </w:p>
        </w:tc>
        <w:tc>
          <w:tcPr>
            <w:tcW w:w="43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1122"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957"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234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6.属于四类过程性信息</w:t>
            </w:r>
          </w:p>
        </w:tc>
        <w:tc>
          <w:tcPr>
            <w:tcW w:w="43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1122"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957"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234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7.属于行政执法案卷</w:t>
            </w:r>
          </w:p>
        </w:tc>
        <w:tc>
          <w:tcPr>
            <w:tcW w:w="43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1122"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957"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234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8.属于行政查询事项</w:t>
            </w:r>
          </w:p>
        </w:tc>
        <w:tc>
          <w:tcPr>
            <w:tcW w:w="43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1122"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957" w:type="dxa"/>
            <w:vMerge w:val="restart"/>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（四）无法提供</w:t>
            </w:r>
          </w:p>
        </w:tc>
        <w:tc>
          <w:tcPr>
            <w:tcW w:w="234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1.本机关不掌握相关政府信息</w:t>
            </w:r>
          </w:p>
        </w:tc>
        <w:tc>
          <w:tcPr>
            <w:tcW w:w="43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1122"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957"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234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2.没有现成信息需要另行制作</w:t>
            </w:r>
          </w:p>
        </w:tc>
        <w:tc>
          <w:tcPr>
            <w:tcW w:w="43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1122"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957"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234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3.补正后申请内容仍不明确</w:t>
            </w:r>
          </w:p>
        </w:tc>
        <w:tc>
          <w:tcPr>
            <w:tcW w:w="43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1122"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957" w:type="dxa"/>
            <w:vMerge w:val="restart"/>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（五）不予处理</w:t>
            </w:r>
          </w:p>
        </w:tc>
        <w:tc>
          <w:tcPr>
            <w:tcW w:w="234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1.信访举报投诉类申请</w:t>
            </w:r>
          </w:p>
        </w:tc>
        <w:tc>
          <w:tcPr>
            <w:tcW w:w="43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1122"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957"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234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2.重复申请</w:t>
            </w:r>
          </w:p>
        </w:tc>
        <w:tc>
          <w:tcPr>
            <w:tcW w:w="43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1122"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957"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234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3.要求提供公开出版物</w:t>
            </w:r>
          </w:p>
        </w:tc>
        <w:tc>
          <w:tcPr>
            <w:tcW w:w="43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1122"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957"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234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4.无正当理由大量反复申请</w:t>
            </w:r>
          </w:p>
        </w:tc>
        <w:tc>
          <w:tcPr>
            <w:tcW w:w="43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1122"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957"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234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5.要求行政机关确认或重新出具已获取信息</w:t>
            </w:r>
          </w:p>
        </w:tc>
        <w:tc>
          <w:tcPr>
            <w:tcW w:w="43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1122"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3300" w:type="dxa"/>
            <w:gridSpan w:val="2"/>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（六）其他处理</w:t>
            </w:r>
          </w:p>
        </w:tc>
        <w:tc>
          <w:tcPr>
            <w:tcW w:w="43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1122"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3300" w:type="dxa"/>
            <w:gridSpan w:val="2"/>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（七）总计</w:t>
            </w:r>
          </w:p>
        </w:tc>
        <w:tc>
          <w:tcPr>
            <w:tcW w:w="43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769"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4422" w:type="dxa"/>
            <w:gridSpan w:val="3"/>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四、结转下年度继续办理</w:t>
            </w:r>
          </w:p>
        </w:tc>
        <w:tc>
          <w:tcPr>
            <w:tcW w:w="43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544"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jc w:val="left"/>
              <w:rPr>
                <w:rFonts w:ascii="宋体" w:hAnsi="宋体" w:cs="宋体"/>
                <w:color w:val="333333"/>
                <w:kern w:val="0"/>
                <w:sz w:val="24"/>
              </w:rPr>
            </w:pPr>
            <w:r>
              <w:rPr>
                <w:rFonts w:hint="eastAsia" w:ascii="宋体" w:hAnsi="宋体" w:cs="宋体"/>
                <w:color w:val="333333"/>
                <w:kern w:val="0"/>
                <w:sz w:val="24"/>
              </w:rPr>
              <w:t>0</w:t>
            </w:r>
          </w:p>
        </w:tc>
        <w:tc>
          <w:tcPr>
            <w:tcW w:w="544" w:type="dxa"/>
            <w:shd w:val="clear" w:color="auto" w:fill="FFFFFF"/>
            <w:vAlign w:val="center"/>
          </w:tcPr>
          <w:p>
            <w:pPr>
              <w:widowControl/>
              <w:rPr>
                <w:rFonts w:ascii="Times New Roman" w:hAnsi="Times New Roman" w:eastAsia="Times New Roman"/>
                <w:kern w:val="0"/>
                <w:sz w:val="20"/>
                <w:szCs w:val="20"/>
              </w:rPr>
            </w:pPr>
          </w:p>
        </w:tc>
        <w:tc>
          <w:tcPr>
            <w:tcW w:w="769" w:type="dxa"/>
            <w:shd w:val="clear" w:color="auto" w:fill="FFFFFF"/>
            <w:vAlign w:val="center"/>
          </w:tcPr>
          <w:p>
            <w:pPr>
              <w:widowControl/>
              <w:rPr>
                <w:rFonts w:ascii="Times New Roman" w:hAnsi="Times New Roman" w:eastAsia="Times New Roman"/>
                <w:kern w:val="0"/>
                <w:sz w:val="20"/>
                <w:szCs w:val="20"/>
              </w:rPr>
            </w:pPr>
          </w:p>
        </w:tc>
        <w:tc>
          <w:tcPr>
            <w:tcW w:w="769" w:type="dxa"/>
            <w:shd w:val="clear" w:color="auto" w:fill="FFFFFF"/>
            <w:vAlign w:val="center"/>
          </w:tcPr>
          <w:p>
            <w:pPr>
              <w:widowControl/>
              <w:rPr>
                <w:rFonts w:ascii="Times New Roman" w:hAnsi="Times New Roman" w:eastAsia="Times New Roman"/>
                <w:kern w:val="0"/>
                <w:sz w:val="20"/>
                <w:szCs w:val="20"/>
              </w:rPr>
            </w:pPr>
          </w:p>
        </w:tc>
        <w:tc>
          <w:tcPr>
            <w:tcW w:w="420" w:type="dxa"/>
            <w:shd w:val="clear" w:color="auto" w:fill="FFFFFF"/>
            <w:vAlign w:val="center"/>
          </w:tcPr>
          <w:p>
            <w:pPr>
              <w:widowControl/>
              <w:rPr>
                <w:rFonts w:ascii="Times New Roman" w:hAnsi="Times New Roman" w:eastAsia="Times New Roman"/>
                <w:kern w:val="0"/>
                <w:sz w:val="20"/>
                <w:szCs w:val="20"/>
              </w:rPr>
            </w:pPr>
          </w:p>
        </w:tc>
        <w:tc>
          <w:tcPr>
            <w:tcW w:w="420" w:type="dxa"/>
            <w:shd w:val="clear" w:color="auto" w:fill="FFFFFF"/>
            <w:vAlign w:val="center"/>
          </w:tcPr>
          <w:p>
            <w:pPr>
              <w:widowControl/>
              <w:rPr>
                <w:rFonts w:ascii="Times New Roman" w:hAnsi="Times New Roman" w:eastAsia="Times New Roman"/>
                <w:kern w:val="0"/>
                <w:sz w:val="20"/>
                <w:szCs w:val="20"/>
              </w:rPr>
            </w:pPr>
          </w:p>
        </w:tc>
      </w:tr>
    </w:tbl>
    <w:p>
      <w:pPr>
        <w:ind w:firstLine="643" w:firstLineChars="200"/>
        <w:rPr>
          <w:rFonts w:ascii="黑体" w:hAnsi="黑体" w:eastAsia="黑体"/>
          <w:b/>
          <w:sz w:val="32"/>
          <w:szCs w:val="32"/>
        </w:rPr>
      </w:pPr>
      <w:r>
        <w:rPr>
          <w:rFonts w:hint="eastAsia" w:ascii="黑体" w:hAnsi="黑体" w:eastAsia="黑体"/>
          <w:b/>
          <w:sz w:val="32"/>
          <w:szCs w:val="32"/>
        </w:rPr>
        <w:t>四、政府信息公开行政复议、行政诉讼情况</w:t>
      </w:r>
    </w:p>
    <w:tbl>
      <w:tblPr>
        <w:tblStyle w:val="6"/>
        <w:tblW w:w="8486"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03"/>
        <w:gridCol w:w="603"/>
        <w:gridCol w:w="603"/>
        <w:gridCol w:w="603"/>
        <w:gridCol w:w="420"/>
        <w:gridCol w:w="603"/>
        <w:gridCol w:w="601"/>
        <w:gridCol w:w="601"/>
        <w:gridCol w:w="601"/>
        <w:gridCol w:w="420"/>
        <w:gridCol w:w="602"/>
        <w:gridCol w:w="602"/>
        <w:gridCol w:w="602"/>
        <w:gridCol w:w="602"/>
        <w:gridCol w:w="420"/>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2832" w:type="dxa"/>
            <w:gridSpan w:val="5"/>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行政复议</w:t>
            </w:r>
          </w:p>
        </w:tc>
        <w:tc>
          <w:tcPr>
            <w:tcW w:w="5654" w:type="dxa"/>
            <w:gridSpan w:val="10"/>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行政诉讼</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603" w:type="dxa"/>
            <w:vMerge w:val="restart"/>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结果维持</w:t>
            </w:r>
          </w:p>
        </w:tc>
        <w:tc>
          <w:tcPr>
            <w:tcW w:w="603" w:type="dxa"/>
            <w:vMerge w:val="restart"/>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结果纠正</w:t>
            </w:r>
          </w:p>
        </w:tc>
        <w:tc>
          <w:tcPr>
            <w:tcW w:w="603" w:type="dxa"/>
            <w:vMerge w:val="restart"/>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其他结果</w:t>
            </w:r>
          </w:p>
        </w:tc>
        <w:tc>
          <w:tcPr>
            <w:tcW w:w="603" w:type="dxa"/>
            <w:vMerge w:val="restart"/>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尚未审结</w:t>
            </w:r>
          </w:p>
        </w:tc>
        <w:tc>
          <w:tcPr>
            <w:tcW w:w="420" w:type="dxa"/>
            <w:vMerge w:val="restart"/>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总计</w:t>
            </w:r>
          </w:p>
        </w:tc>
        <w:tc>
          <w:tcPr>
            <w:tcW w:w="2826" w:type="dxa"/>
            <w:gridSpan w:val="5"/>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未经复议直接起诉</w:t>
            </w:r>
          </w:p>
        </w:tc>
        <w:tc>
          <w:tcPr>
            <w:tcW w:w="2828" w:type="dxa"/>
            <w:gridSpan w:val="5"/>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复议后起诉</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c>
          <w:tcPr>
            <w:tcW w:w="603"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603"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603"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603"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420" w:type="dxa"/>
            <w:vMerge w:val="continue"/>
            <w:tcBorders>
              <w:top w:val="single" w:color="DDDDDD" w:sz="6" w:space="0"/>
              <w:left w:val="single" w:color="DDDDDD" w:sz="6" w:space="0"/>
              <w:bottom w:val="single" w:color="DDDDDD" w:sz="6" w:space="0"/>
              <w:right w:val="single" w:color="DDDDDD" w:sz="6" w:space="0"/>
            </w:tcBorders>
            <w:shd w:val="clear" w:color="auto" w:fill="FFFFFF"/>
            <w:vAlign w:val="center"/>
          </w:tcPr>
          <w:p>
            <w:pPr>
              <w:widowControl/>
              <w:rPr>
                <w:rFonts w:ascii="宋体" w:hAnsi="宋体" w:cs="宋体"/>
                <w:color w:val="333333"/>
                <w:kern w:val="0"/>
                <w:sz w:val="24"/>
              </w:rPr>
            </w:pPr>
          </w:p>
        </w:tc>
        <w:tc>
          <w:tcPr>
            <w:tcW w:w="60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结果维持</w:t>
            </w:r>
          </w:p>
        </w:tc>
        <w:tc>
          <w:tcPr>
            <w:tcW w:w="601"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结果纠正</w:t>
            </w:r>
          </w:p>
        </w:tc>
        <w:tc>
          <w:tcPr>
            <w:tcW w:w="601"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其他结果</w:t>
            </w:r>
          </w:p>
        </w:tc>
        <w:tc>
          <w:tcPr>
            <w:tcW w:w="601"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尚未审结</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总计</w:t>
            </w:r>
          </w:p>
        </w:tc>
        <w:tc>
          <w:tcPr>
            <w:tcW w:w="602"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结果维持</w:t>
            </w:r>
          </w:p>
        </w:tc>
        <w:tc>
          <w:tcPr>
            <w:tcW w:w="602"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结果纠正</w:t>
            </w:r>
          </w:p>
        </w:tc>
        <w:tc>
          <w:tcPr>
            <w:tcW w:w="602"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其他结果</w:t>
            </w:r>
          </w:p>
        </w:tc>
        <w:tc>
          <w:tcPr>
            <w:tcW w:w="602"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尚未审结</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总计</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60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60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60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60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603"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601"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601"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601"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602"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602"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602"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602"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c>
          <w:tcPr>
            <w:tcW w:w="420" w:type="dxa"/>
            <w:tcBorders>
              <w:top w:val="single" w:color="DDDDDD" w:sz="6" w:space="0"/>
              <w:left w:val="single" w:color="DDDDDD" w:sz="6" w:space="0"/>
              <w:bottom w:val="single" w:color="DDDDDD" w:sz="6" w:space="0"/>
              <w:right w:val="single" w:color="DDDDDD" w:sz="6" w:space="0"/>
            </w:tcBorders>
            <w:shd w:val="clear" w:color="auto" w:fill="FFFFFF"/>
            <w:tcMar>
              <w:top w:w="60" w:type="dxa"/>
              <w:left w:w="90" w:type="dxa"/>
              <w:bottom w:w="60" w:type="dxa"/>
              <w:right w:w="90" w:type="dxa"/>
            </w:tcMar>
            <w:vAlign w:val="center"/>
          </w:tcPr>
          <w:p>
            <w:pPr>
              <w:widowControl/>
              <w:rPr>
                <w:rFonts w:ascii="宋体" w:hAnsi="宋体" w:cs="宋体"/>
                <w:color w:val="333333"/>
                <w:kern w:val="0"/>
                <w:sz w:val="24"/>
              </w:rPr>
            </w:pPr>
            <w:r>
              <w:rPr>
                <w:rFonts w:hint="eastAsia" w:ascii="宋体" w:hAnsi="宋体" w:cs="宋体"/>
                <w:color w:val="333333"/>
                <w:kern w:val="0"/>
                <w:sz w:val="24"/>
              </w:rPr>
              <w:t>0</w:t>
            </w:r>
          </w:p>
        </w:tc>
      </w:tr>
    </w:tbl>
    <w:p>
      <w:pPr>
        <w:ind w:firstLine="643" w:firstLineChars="200"/>
        <w:rPr>
          <w:rFonts w:ascii="黑体" w:hAnsi="黑体" w:eastAsia="黑体"/>
          <w:b/>
          <w:sz w:val="32"/>
          <w:szCs w:val="32"/>
        </w:rPr>
      </w:pPr>
      <w:r>
        <w:rPr>
          <w:rFonts w:hint="eastAsia" w:ascii="黑体" w:hAnsi="黑体" w:eastAsia="黑体"/>
          <w:b/>
          <w:sz w:val="32"/>
          <w:szCs w:val="32"/>
        </w:rPr>
        <w:t>五、存在的主要问题及改进情况</w:t>
      </w:r>
    </w:p>
    <w:p>
      <w:pPr>
        <w:ind w:firstLine="630"/>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（一）2019年问题整改情况</w:t>
      </w:r>
    </w:p>
    <w:p>
      <w:pPr>
        <w:ind w:firstLine="630"/>
        <w:rPr>
          <w:rFonts w:ascii="仿宋_GB2312" w:eastAsia="仿宋_GB2312"/>
          <w:sz w:val="32"/>
          <w:szCs w:val="32"/>
        </w:rPr>
      </w:pPr>
      <w:r>
        <w:rPr>
          <w:rFonts w:hint="eastAsia" w:ascii="仿宋_GB2312" w:eastAsia="仿宋_GB2312"/>
          <w:sz w:val="32"/>
          <w:szCs w:val="32"/>
        </w:rPr>
        <w:t>一是进一步加强政务新媒体应用，开设“昌乐县退役军人事务局”微信订阅号，刊发稿件66篇，着力扩大阅读量。二是强化政府信息公开工作培训，第一时间对新修订的《政府信息公开条例》进行了解读。三是将政府信息公开工作纳入全局绩效考核，调动各科室单位积极性。</w:t>
      </w:r>
    </w:p>
    <w:p>
      <w:pPr>
        <w:ind w:firstLine="630"/>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（二）2020年存在的主要问题</w:t>
      </w:r>
    </w:p>
    <w:p>
      <w:pPr>
        <w:ind w:firstLine="640" w:firstLineChars="200"/>
        <w:rPr>
          <w:rFonts w:ascii="仿宋_GB2312" w:eastAsia="仿宋_GB2312"/>
          <w:sz w:val="32"/>
          <w:szCs w:val="32"/>
        </w:rPr>
      </w:pPr>
      <w:r>
        <w:rPr>
          <w:rFonts w:hint="eastAsia" w:ascii="仿宋_GB2312" w:eastAsia="仿宋_GB2312"/>
          <w:sz w:val="32"/>
          <w:szCs w:val="32"/>
        </w:rPr>
        <w:t>2020年，我局信息公开工作在上级主管部门的正确领导下，做了大量工作，我局的政府信息公开工作从总体来看，运行状况较好，但还存在部分科室对信息公开工作认识不足、时效性不高、规范性不强的问题，信息更新还需要及时，政府信息公开的尺度把握不准，现有制度执行力度有待加强，政务公开长效机制有待完善，公开形式的便民性在今后的工作中需要进一步提高。</w:t>
      </w:r>
    </w:p>
    <w:p>
      <w:pPr>
        <w:ind w:firstLine="643" w:firstLineChars="200"/>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（三）改进措施</w:t>
      </w:r>
    </w:p>
    <w:p>
      <w:pPr>
        <w:ind w:firstLine="640" w:firstLineChars="200"/>
        <w:rPr>
          <w:rFonts w:ascii="仿宋_GB2312" w:eastAsia="仿宋_GB2312"/>
          <w:sz w:val="32"/>
          <w:szCs w:val="32"/>
        </w:rPr>
      </w:pPr>
      <w:r>
        <w:rPr>
          <w:rFonts w:hint="eastAsia" w:ascii="仿宋_GB2312" w:eastAsia="仿宋_GB2312"/>
          <w:sz w:val="32"/>
          <w:szCs w:val="32"/>
        </w:rPr>
        <w:t>一是进一步强化组织领导。调整优化领导机构和职能，明确职责分工，完善工作机制，不断创新工作方式方法，突出重点，注重实效，加强信息报送工作力度，使信息公开业务更加有序、便民、高效，确保退役军人的知情权、参与权、表达权和监督权。二是进一步加强学习培训。加强对后备信息员的培训力度，确保政府信息公开工作长期高效持续开展。创新公开渠道，对原有的政府信息公开目录进行补充完善，并及时公开需要公开的信息，确保公开信息的完整性和准确性。三是进一步扩展公开范围，进一步拓宽信息公开平台。在利用好现有平台公开信息的同时，进一步拓展公开途径，增强政府信息公开质效。同时对照《条例》的具体要求，认真清理政府信息公开事项，查漏补缺，修订信息公开指南和目录，确保应公开的政务信息全部公开。依据有关法律、法规严格审核公开内容，确保政府信息公开不影响国家安全、公共安全、经济安全和社会稳定，真正体现公开、公平、公正。四是进一步完善公开制度，完善公开内容。按照“以公开为原则，不公开为例外”的总体要求，扎实做好政府信息主动公开工作。加强对重点领域和群众关注度高的政府信息的梳理，保证公开信息的完整性、准确性、实效性。加强对政务公开工作的指导和监督，健全有关检查制度、责任追究制度、信息反馈制度，规范公开内容，提高公开质量，确保把信息公开工作落到实处。五是进一步拓宽公开途径。通过网络、微信等多种方式加大惠民政策宣传力度，进一步细化信息公开工作流程，拓宽公开渠道，确保操作简便明了，便于查找。</w:t>
      </w:r>
    </w:p>
    <w:p>
      <w:pPr>
        <w:ind w:firstLine="643" w:firstLineChars="200"/>
        <w:rPr>
          <w:rFonts w:ascii="黑体" w:hAnsi="黑体" w:eastAsia="黑体"/>
          <w:b/>
          <w:sz w:val="32"/>
          <w:szCs w:val="32"/>
        </w:rPr>
      </w:pPr>
      <w:r>
        <w:rPr>
          <w:rFonts w:hint="eastAsia" w:ascii="黑体" w:hAnsi="黑体" w:eastAsia="黑体"/>
          <w:b/>
          <w:sz w:val="32"/>
          <w:szCs w:val="32"/>
        </w:rPr>
        <w:t>六、其他需要报告的事项</w:t>
      </w:r>
    </w:p>
    <w:p>
      <w:pPr>
        <w:ind w:firstLine="640" w:firstLineChars="200"/>
        <w:rPr>
          <w:rFonts w:ascii="仿宋_GB2312" w:eastAsia="仿宋_GB2312"/>
          <w:sz w:val="32"/>
          <w:szCs w:val="32"/>
        </w:rPr>
      </w:pPr>
      <w:r>
        <w:rPr>
          <w:rFonts w:hint="eastAsia" w:ascii="仿宋_GB2312" w:eastAsia="仿宋_GB2312"/>
          <w:sz w:val="32"/>
          <w:szCs w:val="32"/>
        </w:rPr>
        <w:t>无。</w:t>
      </w:r>
    </w:p>
    <w:p>
      <w:pPr>
        <w:ind w:firstLine="640" w:firstLineChars="200"/>
        <w:rPr>
          <w:rFonts w:ascii="仿宋_GB2312" w:eastAsia="仿宋_GB2312"/>
          <w:sz w:val="32"/>
          <w:szCs w:val="32"/>
        </w:rPr>
      </w:pPr>
    </w:p>
    <w:p>
      <w:pPr>
        <w:ind w:firstLine="4480" w:firstLineChars="1400"/>
        <w:rPr>
          <w:rFonts w:ascii="仿宋_GB2312" w:eastAsia="仿宋_GB2312"/>
          <w:sz w:val="32"/>
          <w:szCs w:val="32"/>
        </w:rPr>
      </w:pPr>
      <w:r>
        <w:rPr>
          <w:rFonts w:hint="eastAsia" w:ascii="仿宋_GB2312" w:eastAsia="仿宋_GB2312"/>
          <w:sz w:val="32"/>
          <w:szCs w:val="32"/>
        </w:rPr>
        <w:t>昌乐县退役军人事务局</w:t>
      </w:r>
    </w:p>
    <w:p>
      <w:pPr>
        <w:ind w:firstLine="4960" w:firstLineChars="1550"/>
        <w:rPr>
          <w:rFonts w:ascii="仿宋_GB2312" w:eastAsia="仿宋_GB2312"/>
          <w:sz w:val="32"/>
          <w:szCs w:val="32"/>
        </w:rPr>
      </w:pPr>
      <w:r>
        <w:rPr>
          <w:rFonts w:hint="eastAsia" w:ascii="仿宋_GB2312" w:eastAsia="仿宋_GB2312"/>
          <w:sz w:val="32"/>
          <w:szCs w:val="32"/>
        </w:rPr>
        <w:t>2021年1月25日</w:t>
      </w:r>
    </w:p>
    <w:p>
      <w:pPr>
        <w:ind w:firstLine="4960" w:firstLineChars="1550"/>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panose1 w:val="02010604000101010101"/>
    <w:charset w:val="86"/>
    <w:family w:val="modern"/>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EyM2VlNTA4NDFlN2U0YTRmYzMxMGE2YjhjY2NlNzMifQ=="/>
    <w:docVar w:name="KSO_WPS_MARK_KEY" w:val="35492266-fb0e-4667-8cb1-96df2d886700"/>
  </w:docVars>
  <w:rsids>
    <w:rsidRoot w:val="00652CF4"/>
    <w:rsid w:val="000073B4"/>
    <w:rsid w:val="0009121D"/>
    <w:rsid w:val="000E09FF"/>
    <w:rsid w:val="00171F67"/>
    <w:rsid w:val="0021397A"/>
    <w:rsid w:val="00381A32"/>
    <w:rsid w:val="003D0197"/>
    <w:rsid w:val="00652CF4"/>
    <w:rsid w:val="0066425F"/>
    <w:rsid w:val="006B2FD7"/>
    <w:rsid w:val="00754A83"/>
    <w:rsid w:val="008C597A"/>
    <w:rsid w:val="009B56C6"/>
    <w:rsid w:val="009F0331"/>
    <w:rsid w:val="00AA13D0"/>
    <w:rsid w:val="00AA6B61"/>
    <w:rsid w:val="00AC5053"/>
    <w:rsid w:val="00AC7E42"/>
    <w:rsid w:val="00C26F20"/>
    <w:rsid w:val="00C60CDE"/>
    <w:rsid w:val="00E958B7"/>
    <w:rsid w:val="3F6764CD"/>
    <w:rsid w:val="41EE6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日期 Char"/>
    <w:basedOn w:val="7"/>
    <w:link w:val="2"/>
    <w:semiHidden/>
    <w:qFormat/>
    <w:uiPriority w:val="99"/>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3139</Words>
  <Characters>3212</Characters>
  <Lines>25</Lines>
  <Paragraphs>7</Paragraphs>
  <TotalTime>429</TotalTime>
  <ScaleCrop>false</ScaleCrop>
  <LinksUpToDate>false</LinksUpToDate>
  <CharactersWithSpaces>3213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2021-01-26T02:20:00Z</dcterms:created>
  <dc:creator>zhangxiaojing</dc:creator>
  <cp:lastModifiedBy>WPS_1658918391</cp:lastModifiedBy>
  <dcterms:modified xsi:type="dcterms:W3CDTF">2024-02-27T09:18:44Z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FB799F5BF27A4A53A985982F78048D14_12</vt:lpwstr>
  </property>
</Properties>
</file>