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674EF">
      <w:pPr>
        <w:keepNext w:val="0"/>
        <w:keepLines w:val="0"/>
        <w:pageBreakBefore w:val="0"/>
        <w:kinsoku/>
        <w:wordWrap/>
        <w:overflowPunct/>
        <w:topLinePunct w:val="0"/>
        <w:autoSpaceDE/>
        <w:bidi w:val="0"/>
        <w:adjustRightInd/>
        <w:snapToGrid/>
        <w:spacing w:line="580" w:lineRule="exact"/>
        <w:jc w:val="center"/>
        <w:textAlignment w:val="auto"/>
        <w:rPr>
          <w:rFonts w:ascii="文星标宋" w:eastAsia="文星标宋"/>
          <w:b w:val="0"/>
          <w:bCs/>
          <w:sz w:val="44"/>
          <w:szCs w:val="44"/>
        </w:rPr>
      </w:pPr>
      <w:r>
        <w:rPr>
          <w:rFonts w:hint="eastAsia" w:ascii="文星标宋" w:eastAsia="文星标宋"/>
          <w:b w:val="0"/>
          <w:bCs/>
          <w:sz w:val="44"/>
          <w:szCs w:val="44"/>
        </w:rPr>
        <w:t>昌乐县退役军人事务局</w:t>
      </w:r>
    </w:p>
    <w:p w14:paraId="3BA1486C">
      <w:pPr>
        <w:keepNext w:val="0"/>
        <w:keepLines w:val="0"/>
        <w:pageBreakBefore w:val="0"/>
        <w:kinsoku/>
        <w:wordWrap/>
        <w:overflowPunct/>
        <w:topLinePunct w:val="0"/>
        <w:autoSpaceDE/>
        <w:bidi w:val="0"/>
        <w:adjustRightInd/>
        <w:snapToGrid/>
        <w:spacing w:line="580" w:lineRule="exact"/>
        <w:jc w:val="center"/>
        <w:textAlignment w:val="auto"/>
        <w:rPr>
          <w:rFonts w:ascii="文星标宋" w:eastAsia="文星标宋"/>
          <w:b w:val="0"/>
          <w:bCs/>
          <w:sz w:val="44"/>
          <w:szCs w:val="44"/>
        </w:rPr>
      </w:pPr>
      <w:r>
        <w:rPr>
          <w:rFonts w:hint="eastAsia" w:ascii="文星标宋" w:eastAsia="文星标宋"/>
          <w:b w:val="0"/>
          <w:bCs/>
          <w:sz w:val="44"/>
          <w:szCs w:val="44"/>
        </w:rPr>
        <w:t>2025年政府信息公开工作年度报告</w:t>
      </w:r>
    </w:p>
    <w:p w14:paraId="0828E847">
      <w:pPr>
        <w:keepNext w:val="0"/>
        <w:keepLines w:val="0"/>
        <w:pageBreakBefore w:val="0"/>
        <w:kinsoku/>
        <w:wordWrap/>
        <w:overflowPunct/>
        <w:topLinePunct w:val="0"/>
        <w:autoSpaceDE/>
        <w:bidi w:val="0"/>
        <w:adjustRightInd/>
        <w:snapToGrid/>
        <w:spacing w:line="580" w:lineRule="exact"/>
        <w:textAlignment w:val="auto"/>
        <w:rPr>
          <w:rFonts w:hint="eastAsia"/>
          <w:b w:val="0"/>
          <w:bCs/>
        </w:rPr>
      </w:pPr>
    </w:p>
    <w:p w14:paraId="004B57A6">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仿宋_GB2312" w:hAnsi="宋体" w:eastAsia="仿宋_GB2312" w:cs="宋体"/>
          <w:b w:val="0"/>
          <w:bCs/>
          <w:kern w:val="0"/>
          <w:sz w:val="32"/>
          <w:szCs w:val="32"/>
        </w:rPr>
      </w:pPr>
      <w:r>
        <w:rPr>
          <w:rFonts w:ascii="仿宋_GB2312" w:hAnsi="宋体" w:eastAsia="仿宋_GB2312" w:cs="宋体"/>
          <w:b w:val="0"/>
          <w:bCs/>
          <w:kern w:val="0"/>
          <w:sz w:val="32"/>
          <w:szCs w:val="32"/>
        </w:rPr>
        <w:t>本报告根据《中华人民共和国政府信息公开条例》（国务院令第711号，以下简称《条例》）《国务院办公厅政府信息与政务公开办公室关于印发中华人民共和国政府信息公开工作年度报告格式的通知》（国办公开办函〔2021〕30号）等有关法律法规的要求编制。</w:t>
      </w:r>
      <w:r>
        <w:rPr>
          <w:rFonts w:hint="eastAsia" w:ascii="仿宋_GB2312" w:hAnsi="宋体" w:eastAsia="仿宋_GB2312" w:cs="宋体"/>
          <w:b w:val="0"/>
          <w:bCs/>
          <w:kern w:val="0"/>
          <w:sz w:val="32"/>
          <w:szCs w:val="32"/>
        </w:rPr>
        <w:t>本报告由总体工作开展情况、主动公开政府信息情况、收到和处理政府信息公开申请情况、政府信息公开行政复议、行政诉讼情况、存在的主要问题及改进情况等六个部分组成，报告中所列数据的统计期限自2025年1月1日起至2025年12月31日止。如对本报告有任何疑问，请与昌乐县退役军人事务局联系（地址：一中街1号商务社区一号楼205房间；邮编：262400；电话：0536-6291300)</w:t>
      </w:r>
      <w:r>
        <w:rPr>
          <w:rFonts w:ascii="仿宋_GB2312" w:hAnsi="宋体" w:eastAsia="仿宋_GB2312" w:cs="宋体"/>
          <w:b w:val="0"/>
          <w:bCs/>
          <w:kern w:val="0"/>
          <w:sz w:val="32"/>
          <w:szCs w:val="32"/>
        </w:rPr>
        <w:t>。</w:t>
      </w:r>
    </w:p>
    <w:p w14:paraId="19682432">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黑体" w:hAnsi="黑体" w:eastAsia="黑体"/>
          <w:b w:val="0"/>
          <w:bCs/>
          <w:sz w:val="32"/>
          <w:szCs w:val="32"/>
        </w:rPr>
      </w:pPr>
      <w:r>
        <w:rPr>
          <w:rFonts w:ascii="黑体" w:hAnsi="黑体" w:eastAsia="黑体"/>
          <w:b w:val="0"/>
          <w:bCs/>
          <w:sz w:val="32"/>
          <w:szCs w:val="32"/>
        </w:rPr>
        <w:t>一、总体情况</w:t>
      </w:r>
    </w:p>
    <w:p w14:paraId="3C34A8DC">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宋体" w:eastAsia="仿宋_GB2312" w:cs="宋体"/>
          <w:b w:val="0"/>
          <w:bCs/>
          <w:kern w:val="0"/>
          <w:sz w:val="32"/>
          <w:szCs w:val="32"/>
        </w:rPr>
      </w:pPr>
      <w:r>
        <w:rPr>
          <w:rFonts w:ascii="仿宋_GB2312" w:hAnsi="宋体" w:eastAsia="仿宋_GB2312" w:cs="宋体"/>
          <w:b w:val="0"/>
          <w:bCs/>
          <w:kern w:val="0"/>
          <w:sz w:val="32"/>
          <w:szCs w:val="32"/>
        </w:rPr>
        <w:t>202</w:t>
      </w:r>
      <w:r>
        <w:rPr>
          <w:rFonts w:hint="eastAsia" w:ascii="仿宋_GB2312" w:hAnsi="宋体" w:eastAsia="仿宋_GB2312" w:cs="宋体"/>
          <w:b w:val="0"/>
          <w:bCs/>
          <w:kern w:val="0"/>
          <w:sz w:val="32"/>
          <w:szCs w:val="32"/>
        </w:rPr>
        <w:t>5</w:t>
      </w:r>
      <w:r>
        <w:rPr>
          <w:rFonts w:ascii="仿宋_GB2312" w:hAnsi="宋体" w:eastAsia="仿宋_GB2312" w:cs="宋体"/>
          <w:b w:val="0"/>
          <w:bCs/>
          <w:kern w:val="0"/>
          <w:sz w:val="32"/>
          <w:szCs w:val="32"/>
        </w:rPr>
        <w:t>年，我单位深入贯彻政务公开工作要点要求，加强组织领导，健全和完善各项制度，不断推进政府信息公开工作质效。</w:t>
      </w:r>
    </w:p>
    <w:p w14:paraId="23726B43">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ascii="楷体_GB2312" w:eastAsia="楷体_GB2312"/>
          <w:b w:val="0"/>
          <w:bCs/>
          <w:sz w:val="32"/>
          <w:szCs w:val="32"/>
        </w:rPr>
      </w:pPr>
      <w:r>
        <w:rPr>
          <w:rFonts w:ascii="楷体_GB2312" w:eastAsia="楷体_GB2312"/>
          <w:b w:val="0"/>
          <w:bCs/>
          <w:sz w:val="32"/>
          <w:szCs w:val="32"/>
        </w:rPr>
        <w:t>（一）主动公开情况</w:t>
      </w:r>
    </w:p>
    <w:p w14:paraId="4EF10D81">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仿宋_GB2312" w:hAnsi="宋体" w:eastAsia="仿宋_GB2312" w:cs="宋体"/>
          <w:b w:val="0"/>
          <w:bCs/>
          <w:kern w:val="0"/>
          <w:sz w:val="32"/>
          <w:szCs w:val="32"/>
        </w:rPr>
      </w:pPr>
      <w:r>
        <w:rPr>
          <w:rFonts w:ascii="仿宋_GB2312" w:hAnsi="宋体" w:eastAsia="仿宋_GB2312" w:cs="宋体"/>
          <w:b w:val="0"/>
          <w:bCs/>
          <w:kern w:val="0"/>
          <w:sz w:val="32"/>
          <w:szCs w:val="32"/>
        </w:rPr>
        <w:t>202</w:t>
      </w:r>
      <w:r>
        <w:rPr>
          <w:rFonts w:hint="eastAsia" w:ascii="仿宋_GB2312" w:hAnsi="宋体" w:eastAsia="仿宋_GB2312" w:cs="宋体"/>
          <w:b w:val="0"/>
          <w:bCs/>
          <w:kern w:val="0"/>
          <w:sz w:val="32"/>
          <w:szCs w:val="32"/>
        </w:rPr>
        <w:t>5</w:t>
      </w:r>
      <w:r>
        <w:rPr>
          <w:rFonts w:ascii="仿宋_GB2312" w:hAnsi="宋体" w:eastAsia="仿宋_GB2312" w:cs="宋体"/>
          <w:b w:val="0"/>
          <w:bCs/>
          <w:kern w:val="0"/>
          <w:sz w:val="32"/>
          <w:szCs w:val="32"/>
        </w:rPr>
        <w:t>年，我单位主动公开机构信息、规划计划、工作信息、双拥共建等主要政务信息栏目及微信公众号等新媒体原创内容共计97条，原创内容数量较去年上升。根据《政府信息公开条例》第二十条、第二十一条要求，及时更新机关简介、领导班子信息、科室及下属事业单位设置；及时推进财政预决算，退役军人就业领域政策、措施及其实施情况。做好法律、法规、规章和国家有关规定应当主动公开的其他政府信息。</w:t>
      </w:r>
    </w:p>
    <w:p w14:paraId="3CC614C7">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ascii="楷体_GB2312" w:eastAsia="楷体_GB2312"/>
          <w:b w:val="0"/>
          <w:bCs/>
          <w:sz w:val="32"/>
          <w:szCs w:val="32"/>
        </w:rPr>
      </w:pPr>
      <w:r>
        <w:rPr>
          <w:rFonts w:hint="eastAsia" w:ascii="楷体_GB2312" w:eastAsia="楷体_GB2312"/>
          <w:b w:val="0"/>
          <w:bCs/>
          <w:sz w:val="32"/>
          <w:szCs w:val="32"/>
        </w:rPr>
        <w:t>（二）依申请公开情况</w:t>
      </w:r>
    </w:p>
    <w:p w14:paraId="5B7713AD">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按照“谁收到、谁处理”的原则办理，我局在县政府信息公开网站开通依申请公开功能，主动公开局政务公开电子邮箱、政务公开部门地址，方便申请人通过网站等多渠道提交申请，并明确专人负责信息公开申请的登记工作，第一时间联系申请人了解具体需求，并按照政府信息公开有关规定和办理时限，全程跟踪办理进程，及时记录办理结果并存档。2025年，县退役军人事务局未收到依申请公开。</w:t>
      </w:r>
    </w:p>
    <w:p w14:paraId="2C3FC165">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ascii="楷体_GB2312" w:eastAsia="楷体_GB2312"/>
          <w:b w:val="0"/>
          <w:bCs/>
          <w:sz w:val="32"/>
          <w:szCs w:val="32"/>
        </w:rPr>
      </w:pPr>
      <w:r>
        <w:rPr>
          <w:rFonts w:ascii="楷体_GB2312" w:eastAsia="楷体_GB2312"/>
          <w:b w:val="0"/>
          <w:bCs/>
          <w:sz w:val="32"/>
          <w:szCs w:val="32"/>
        </w:rPr>
        <w:t>（三）政府信息管理情况</w:t>
      </w:r>
    </w:p>
    <w:p w14:paraId="1C8CAC0C">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一是健全政府信息公开审查机制。严格审核稿件来源与信息内容，确保公开信息权威、准确、及时。切实做好信息公开保密审查，严格做到“涉密信息不上网，上网信息不涉密”。二是完善政府信息管理动态调整机制，加强政府信息全生命周期管理。规范信息发布流程，及时更新完善信息公开指南和目录，方便公众查询和获取信息。</w:t>
      </w:r>
    </w:p>
    <w:p w14:paraId="345DBEC6">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ascii="楷体_GB2312" w:eastAsia="楷体_GB2312"/>
          <w:b w:val="0"/>
          <w:bCs/>
          <w:sz w:val="32"/>
          <w:szCs w:val="32"/>
        </w:rPr>
      </w:pPr>
      <w:r>
        <w:rPr>
          <w:rFonts w:ascii="楷体_GB2312" w:eastAsia="楷体_GB2312"/>
          <w:b w:val="0"/>
          <w:bCs/>
          <w:sz w:val="32"/>
          <w:szCs w:val="32"/>
        </w:rPr>
        <w:t>（四）政府信息公开平台建设情况</w:t>
      </w:r>
    </w:p>
    <w:p w14:paraId="607434CF">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仿宋_GB2312" w:hAnsi="宋体" w:eastAsia="仿宋_GB2312" w:cs="宋体"/>
          <w:b w:val="0"/>
          <w:bCs/>
          <w:kern w:val="0"/>
          <w:sz w:val="32"/>
          <w:szCs w:val="32"/>
        </w:rPr>
      </w:pPr>
      <w:r>
        <w:rPr>
          <w:rFonts w:ascii="仿宋_GB2312" w:hAnsi="宋体" w:eastAsia="仿宋_GB2312" w:cs="宋体"/>
          <w:b w:val="0"/>
          <w:bCs/>
          <w:kern w:val="0"/>
          <w:sz w:val="32"/>
          <w:szCs w:val="32"/>
        </w:rPr>
        <w:t>充分发挥政府门户网站、“爱昌乐”APP、微信公众号等平台作用，及时更新公开平台栏目内容。不断规范门户网站信息公开专栏，不断增强信息编发、政策解读、回应关切的能力。</w:t>
      </w:r>
    </w:p>
    <w:p w14:paraId="78C037FA">
      <w:pPr>
        <w:keepNext w:val="0"/>
        <w:keepLines w:val="0"/>
        <w:pageBreakBefore w:val="0"/>
        <w:widowControl/>
        <w:shd w:val="clear" w:color="auto" w:fill="FFFFFF"/>
        <w:kinsoku/>
        <w:wordWrap/>
        <w:overflowPunct/>
        <w:topLinePunct w:val="0"/>
        <w:autoSpaceDE/>
        <w:bidi w:val="0"/>
        <w:adjustRightInd/>
        <w:snapToGrid/>
        <w:spacing w:line="580" w:lineRule="exact"/>
        <w:ind w:firstLine="640"/>
        <w:textAlignment w:val="auto"/>
        <w:rPr>
          <w:rFonts w:ascii="仿宋_GB2312" w:eastAsia="仿宋_GB2312"/>
          <w:b w:val="0"/>
          <w:bCs/>
          <w:sz w:val="32"/>
          <w:szCs w:val="32"/>
        </w:rPr>
      </w:pPr>
      <w:r>
        <w:rPr>
          <w:rFonts w:hint="eastAsia" w:ascii="楷体_GB2312" w:eastAsia="楷体_GB2312"/>
          <w:b w:val="0"/>
          <w:bCs/>
          <w:sz w:val="32"/>
          <w:szCs w:val="32"/>
        </w:rPr>
        <w:t>（五）监督保障情况</w:t>
      </w:r>
    </w:p>
    <w:p w14:paraId="4ABF8E69">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宋体" w:eastAsia="仿宋_GB2312" w:cs="宋体"/>
          <w:b w:val="0"/>
          <w:bCs/>
          <w:kern w:val="0"/>
          <w:sz w:val="32"/>
          <w:szCs w:val="32"/>
        </w:rPr>
      </w:pPr>
      <w:r>
        <w:rPr>
          <w:rFonts w:ascii="仿宋_GB2312" w:hAnsi="宋体" w:eastAsia="仿宋_GB2312" w:cs="宋体"/>
          <w:b w:val="0"/>
          <w:bCs/>
          <w:kern w:val="0"/>
          <w:sz w:val="32"/>
          <w:szCs w:val="32"/>
        </w:rPr>
        <w:t>局党组定期研究部署政府信息公开工作，分管领导亲自指导、推进政府信息公开相关事项，指定1人负责日常政府信息公开具体工作，结合日常考评与反馈机制，保障政府信息公开工作扎实、有序开展，积极回应群众呼声。</w:t>
      </w:r>
    </w:p>
    <w:p w14:paraId="55B9325D">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ascii="仿宋_GB2312" w:eastAsia="仿宋_GB2312"/>
          <w:b w:val="0"/>
          <w:bCs/>
          <w:sz w:val="32"/>
          <w:szCs w:val="32"/>
        </w:rPr>
      </w:pPr>
      <w:r>
        <w:rPr>
          <w:rFonts w:hint="eastAsia" w:ascii="黑体" w:hAnsi="黑体" w:eastAsia="黑体"/>
          <w:b w:val="0"/>
          <w:bCs/>
          <w:sz w:val="32"/>
          <w:szCs w:val="32"/>
        </w:rPr>
        <w:t>二、主动公开政府信息情况</w:t>
      </w:r>
    </w:p>
    <w:tbl>
      <w:tblPr>
        <w:tblStyle w:val="5"/>
        <w:tblW w:w="9740" w:type="dxa"/>
        <w:jc w:val="center"/>
        <w:tblLayout w:type="autofit"/>
        <w:tblCellMar>
          <w:top w:w="15" w:type="dxa"/>
          <w:left w:w="15" w:type="dxa"/>
          <w:bottom w:w="15" w:type="dxa"/>
          <w:right w:w="15" w:type="dxa"/>
        </w:tblCellMar>
      </w:tblPr>
      <w:tblGrid>
        <w:gridCol w:w="2435"/>
        <w:gridCol w:w="2435"/>
        <w:gridCol w:w="2435"/>
        <w:gridCol w:w="2435"/>
      </w:tblGrid>
      <w:tr w14:paraId="1F54E54F">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B3B1FE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第二十条第（一）项</w:t>
            </w:r>
          </w:p>
        </w:tc>
      </w:tr>
      <w:tr w14:paraId="6CFC8BA5">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380EA30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F75B079">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本年</w:t>
            </w:r>
            <w:r>
              <w:rPr>
                <w:rFonts w:ascii="Calibri" w:hAnsi="Calibri" w:eastAsia="宋体" w:cs="宋体"/>
                <w:b w:val="0"/>
                <w:bCs/>
                <w:color w:val="000000"/>
                <w:kern w:val="0"/>
                <w:sz w:val="20"/>
                <w:szCs w:val="20"/>
              </w:rPr>
              <w:t>制</w:t>
            </w:r>
            <w:r>
              <w:rPr>
                <w:rFonts w:hint="eastAsia" w:ascii="宋体" w:hAnsi="宋体" w:eastAsia="宋体" w:cs="宋体"/>
                <w:b w:val="0"/>
                <w:bCs/>
                <w:color w:val="000000"/>
                <w:kern w:val="0"/>
                <w:sz w:val="20"/>
                <w:szCs w:val="20"/>
              </w:rPr>
              <w:t>发件</w:t>
            </w:r>
            <w:r>
              <w:rPr>
                <w:rFonts w:ascii="Calibri" w:hAnsi="Calibri" w:eastAsia="宋体" w:cs="宋体"/>
                <w:b w:val="0"/>
                <w:bCs/>
                <w:color w:val="000000"/>
                <w:kern w:val="0"/>
                <w:sz w:val="20"/>
                <w:szCs w:val="20"/>
              </w:rPr>
              <w:t>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4733C8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C6783F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现行有效件</w:t>
            </w:r>
            <w:r>
              <w:rPr>
                <w:rFonts w:ascii="Calibri" w:hAnsi="Calibri" w:eastAsia="宋体" w:cs="宋体"/>
                <w:b w:val="0"/>
                <w:bCs/>
                <w:color w:val="000000"/>
                <w:kern w:val="0"/>
                <w:sz w:val="20"/>
                <w:szCs w:val="20"/>
              </w:rPr>
              <w:t>数</w:t>
            </w:r>
          </w:p>
        </w:tc>
      </w:tr>
      <w:tr w14:paraId="2450B555">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2ED24D9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规章</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81C9095">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62AFF60">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213B2A4">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0"/>
                <w:szCs w:val="20"/>
              </w:rPr>
            </w:pPr>
            <w:r>
              <w:rPr>
                <w:rFonts w:cs="宋体" w:asciiTheme="minorEastAsia" w:hAnsiTheme="minorEastAsia"/>
                <w:b w:val="0"/>
                <w:bCs/>
                <w:color w:val="000000"/>
                <w:kern w:val="0"/>
                <w:sz w:val="20"/>
                <w:szCs w:val="20"/>
              </w:rPr>
              <w:t> </w:t>
            </w:r>
            <w:r>
              <w:rPr>
                <w:rFonts w:hint="eastAsia" w:cs="宋体" w:asciiTheme="minorEastAsia" w:hAnsiTheme="minorEastAsia"/>
                <w:b w:val="0"/>
                <w:bCs/>
                <w:color w:val="000000"/>
                <w:kern w:val="0"/>
                <w:sz w:val="20"/>
                <w:szCs w:val="20"/>
              </w:rPr>
              <w:t xml:space="preserve">          0</w:t>
            </w:r>
          </w:p>
        </w:tc>
      </w:tr>
      <w:tr w14:paraId="120C0E3C">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08AEB663">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行政规范性文件</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E36719B">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C154CFF">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41472C7">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0"/>
                <w:szCs w:val="20"/>
              </w:rPr>
            </w:pPr>
            <w:r>
              <w:rPr>
                <w:rFonts w:cs="宋体" w:asciiTheme="minorEastAsia" w:hAnsiTheme="minorEastAsia"/>
                <w:b w:val="0"/>
                <w:bCs/>
                <w:color w:val="000000"/>
                <w:kern w:val="0"/>
                <w:sz w:val="20"/>
                <w:szCs w:val="20"/>
              </w:rPr>
              <w:t> </w:t>
            </w:r>
            <w:r>
              <w:rPr>
                <w:rFonts w:hint="eastAsia" w:cs="宋体" w:asciiTheme="minorEastAsia" w:hAnsiTheme="minorEastAsia"/>
                <w:b w:val="0"/>
                <w:bCs/>
                <w:color w:val="000000"/>
                <w:kern w:val="0"/>
                <w:sz w:val="20"/>
                <w:szCs w:val="20"/>
              </w:rPr>
              <w:t xml:space="preserve">          0</w:t>
            </w:r>
          </w:p>
        </w:tc>
      </w:tr>
      <w:tr w14:paraId="4AB3A190">
        <w:tblPrEx>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4614F31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第二十条第（五）项</w:t>
            </w:r>
          </w:p>
        </w:tc>
      </w:tr>
      <w:tr w14:paraId="673D3668">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25C7EBF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7D89D3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本年处理决定数量</w:t>
            </w:r>
          </w:p>
        </w:tc>
      </w:tr>
      <w:tr w14:paraId="6D3F3958">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5B2AD18F">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3D60DDC">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ascii="Calibri" w:hAnsi="Calibri" w:eastAsia="宋体" w:cs="宋体"/>
                <w:b w:val="0"/>
                <w:bCs/>
                <w:color w:val="000000"/>
                <w:kern w:val="0"/>
                <w:szCs w:val="21"/>
              </w:rPr>
              <w:t> </w:t>
            </w:r>
            <w:r>
              <w:rPr>
                <w:rFonts w:hint="eastAsia" w:ascii="Calibri" w:hAnsi="Calibri" w:eastAsia="宋体" w:cs="宋体"/>
                <w:b w:val="0"/>
                <w:bCs/>
                <w:color w:val="000000"/>
                <w:kern w:val="0"/>
                <w:szCs w:val="21"/>
              </w:rPr>
              <w:t>0</w:t>
            </w:r>
          </w:p>
        </w:tc>
      </w:tr>
      <w:tr w14:paraId="7E97A7FF">
        <w:tblPrEx>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C5B93A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第二十条第（六）项</w:t>
            </w:r>
          </w:p>
        </w:tc>
      </w:tr>
      <w:tr w14:paraId="3B00BD38">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0AF23FB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759D824">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本年处理决定数量</w:t>
            </w:r>
          </w:p>
        </w:tc>
      </w:tr>
      <w:tr w14:paraId="5A8F751B">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673519A0">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3136CE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452ADD9A">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1D28324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B2ED2D5">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6E5E3FF1">
        <w:tblPrEx>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3F225D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第二十条第（八）项</w:t>
            </w:r>
          </w:p>
        </w:tc>
      </w:tr>
      <w:tr w14:paraId="75378E12">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61A6DC69">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14:paraId="511B049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本年收费金额（单位：万元）</w:t>
            </w:r>
          </w:p>
        </w:tc>
      </w:tr>
      <w:tr w14:paraId="5539C9DC">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3DA8D4DE">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14:paraId="4BC9156A">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0</w:t>
            </w:r>
          </w:p>
        </w:tc>
      </w:tr>
    </w:tbl>
    <w:p w14:paraId="71D0E888">
      <w:pPr>
        <w:keepNext w:val="0"/>
        <w:keepLines w:val="0"/>
        <w:pageBreakBefore w:val="0"/>
        <w:shd w:val="clear"/>
        <w:kinsoku/>
        <w:wordWrap/>
        <w:overflowPunct/>
        <w:topLinePunct w:val="0"/>
        <w:autoSpaceDE/>
        <w:bidi w:val="0"/>
        <w:adjustRightInd/>
        <w:snapToGrid/>
        <w:spacing w:line="580" w:lineRule="exact"/>
        <w:ind w:firstLine="640" w:firstLineChars="200"/>
        <w:textAlignment w:val="auto"/>
        <w:rPr>
          <w:rFonts w:ascii="黑体" w:hAnsi="黑体" w:eastAsia="黑体"/>
          <w:b w:val="0"/>
          <w:bCs/>
          <w:sz w:val="32"/>
          <w:szCs w:val="32"/>
        </w:rPr>
      </w:pPr>
    </w:p>
    <w:p w14:paraId="39FF3572">
      <w:pPr>
        <w:keepNext w:val="0"/>
        <w:keepLines w:val="0"/>
        <w:pageBreakBefore w:val="0"/>
        <w:shd w:val="clear"/>
        <w:kinsoku/>
        <w:wordWrap/>
        <w:overflowPunct/>
        <w:topLinePunct w:val="0"/>
        <w:autoSpaceDE/>
        <w:bidi w:val="0"/>
        <w:adjustRightInd/>
        <w:snapToGrid/>
        <w:spacing w:line="580" w:lineRule="exact"/>
        <w:ind w:firstLine="307" w:firstLineChars="96"/>
        <w:textAlignment w:val="auto"/>
        <w:rPr>
          <w:rFonts w:ascii="黑体" w:hAnsi="黑体" w:eastAsia="黑体"/>
          <w:b w:val="0"/>
          <w:bCs/>
          <w:sz w:val="32"/>
          <w:szCs w:val="32"/>
        </w:rPr>
      </w:pPr>
      <w:r>
        <w:rPr>
          <w:rFonts w:hint="eastAsia" w:ascii="黑体" w:hAnsi="黑体" w:eastAsia="黑体"/>
          <w:b w:val="0"/>
          <w:bCs/>
          <w:sz w:val="32"/>
          <w:szCs w:val="32"/>
        </w:rPr>
        <w:t>三、收到和处理政府信息公开申请情况</w:t>
      </w:r>
    </w:p>
    <w:tbl>
      <w:tblPr>
        <w:tblStyle w:val="5"/>
        <w:tblW w:w="9748" w:type="dxa"/>
        <w:jc w:val="center"/>
        <w:tblLayout w:type="autofit"/>
        <w:tblCellMar>
          <w:top w:w="15" w:type="dxa"/>
          <w:left w:w="15" w:type="dxa"/>
          <w:bottom w:w="15" w:type="dxa"/>
          <w:right w:w="15" w:type="dxa"/>
        </w:tblCellMar>
      </w:tblPr>
      <w:tblGrid>
        <w:gridCol w:w="769"/>
        <w:gridCol w:w="943"/>
        <w:gridCol w:w="3220"/>
        <w:gridCol w:w="688"/>
        <w:gridCol w:w="688"/>
        <w:gridCol w:w="688"/>
        <w:gridCol w:w="688"/>
        <w:gridCol w:w="688"/>
        <w:gridCol w:w="688"/>
        <w:gridCol w:w="688"/>
      </w:tblGrid>
      <w:tr w14:paraId="5243844B">
        <w:tblPrEx>
          <w:tblCellMar>
            <w:top w:w="15" w:type="dxa"/>
            <w:left w:w="15" w:type="dxa"/>
            <w:bottom w:w="15" w:type="dxa"/>
            <w:right w:w="15"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E6F4FF"/>
            <w:tcMar>
              <w:top w:w="0" w:type="dxa"/>
              <w:left w:w="108" w:type="dxa"/>
              <w:bottom w:w="0" w:type="dxa"/>
              <w:right w:w="108" w:type="dxa"/>
            </w:tcMar>
            <w:vAlign w:val="center"/>
          </w:tcPr>
          <w:p w14:paraId="2225310F">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BB4EC5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申请人情况</w:t>
            </w:r>
          </w:p>
        </w:tc>
      </w:tr>
      <w:tr w14:paraId="6A96D130">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2A6D42D2">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688" w:type="dxa"/>
            <w:vMerge w:val="restar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1852B4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F6B3A4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法人或其他组织</w:t>
            </w:r>
          </w:p>
        </w:tc>
        <w:tc>
          <w:tcPr>
            <w:tcW w:w="688" w:type="dxa"/>
            <w:vMerge w:val="restart"/>
            <w:tcBorders>
              <w:top w:val="single" w:color="auto" w:sz="8" w:space="0"/>
              <w:left w:val="nil"/>
              <w:bottom w:val="inset" w:color="auto" w:sz="8" w:space="0"/>
              <w:right w:val="single" w:color="auto" w:sz="8" w:space="0"/>
            </w:tcBorders>
            <w:shd w:val="clear" w:color="auto" w:fill="E6F4FF"/>
            <w:tcMar>
              <w:top w:w="0" w:type="dxa"/>
              <w:left w:w="57" w:type="dxa"/>
              <w:bottom w:w="0" w:type="dxa"/>
              <w:right w:w="57" w:type="dxa"/>
            </w:tcMar>
            <w:vAlign w:val="center"/>
          </w:tcPr>
          <w:p w14:paraId="733EDEA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总计</w:t>
            </w:r>
          </w:p>
        </w:tc>
      </w:tr>
      <w:tr w14:paraId="27C7A1DC">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24040F1A">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14:paraId="2D614936">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4BF0CE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商业</w:t>
            </w:r>
          </w:p>
          <w:p w14:paraId="35CC66D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企业</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C4961A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科研</w:t>
            </w:r>
          </w:p>
          <w:p w14:paraId="63199AF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5596A9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A796D6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E50E0B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14:paraId="400DC158">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r>
      <w:tr w14:paraId="13942121">
        <w:tblPrEx>
          <w:tblCellMar>
            <w:top w:w="15" w:type="dxa"/>
            <w:left w:w="15" w:type="dxa"/>
            <w:bottom w:w="15" w:type="dxa"/>
            <w:right w:w="15"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037BEBDC">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876CA0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38E6B5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AFC03B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090980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DA35BC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1065CE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143235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26F9A4CF">
        <w:tblPrEx>
          <w:tblCellMar>
            <w:top w:w="15" w:type="dxa"/>
            <w:left w:w="15" w:type="dxa"/>
            <w:bottom w:w="15" w:type="dxa"/>
            <w:right w:w="15"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431DB40D">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1C97C1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5277ED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304EBE4">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A1BF0D5">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7A4199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D56252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16BFEC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3A23E02F">
        <w:tblPrEx>
          <w:tblCellMar>
            <w:top w:w="15" w:type="dxa"/>
            <w:left w:w="15" w:type="dxa"/>
            <w:bottom w:w="15" w:type="dxa"/>
            <w:right w:w="15" w:type="dxa"/>
          </w:tblCellMar>
        </w:tblPrEx>
        <w:trPr>
          <w:jc w:val="center"/>
        </w:trPr>
        <w:tc>
          <w:tcPr>
            <w:tcW w:w="769" w:type="dxa"/>
            <w:vMerge w:val="restart"/>
            <w:tcBorders>
              <w:top w:val="nil"/>
              <w:left w:val="single" w:color="auto" w:sz="8" w:space="0"/>
              <w:bottom w:val="inset" w:color="auto" w:sz="8" w:space="0"/>
              <w:right w:val="single" w:color="auto" w:sz="8" w:space="0"/>
            </w:tcBorders>
            <w:shd w:val="clear" w:color="auto" w:fill="E6F4FF"/>
            <w:tcMar>
              <w:top w:w="0" w:type="dxa"/>
              <w:left w:w="57" w:type="dxa"/>
              <w:bottom w:w="0" w:type="dxa"/>
              <w:right w:w="57" w:type="dxa"/>
            </w:tcMar>
            <w:vAlign w:val="center"/>
          </w:tcPr>
          <w:p w14:paraId="3D190FFB">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864C5EB">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（一）予以公开</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CC1D3C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6DEB85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BD75D2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0A11DC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957B4E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05AC4B9">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tcPr>
          <w:p w14:paraId="0613807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504E8BC7">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C38309D">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A565419">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8AE9DF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BDD142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D0BC4E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433B149">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3587BD5">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2EEDF5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0F27BA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0"/>
                <w:szCs w:val="20"/>
              </w:rPr>
            </w:pPr>
            <w:r>
              <w:rPr>
                <w:rFonts w:hint="eastAsia" w:ascii="宋体" w:hAnsi="宋体" w:eastAsia="宋体" w:cs="宋体"/>
                <w:b w:val="0"/>
                <w:bCs/>
                <w:color w:val="000000"/>
                <w:kern w:val="0"/>
                <w:sz w:val="20"/>
                <w:szCs w:val="20"/>
              </w:rPr>
              <w:t>0</w:t>
            </w:r>
          </w:p>
        </w:tc>
      </w:tr>
      <w:tr w14:paraId="6C14A9A3">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C5B37E9">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943" w:type="dxa"/>
            <w:vMerge w:val="restart"/>
            <w:tcBorders>
              <w:top w:val="nil"/>
              <w:left w:val="nil"/>
              <w:bottom w:val="inset" w:color="auto" w:sz="8" w:space="0"/>
              <w:right w:val="single" w:color="auto" w:sz="8" w:space="0"/>
            </w:tcBorders>
            <w:shd w:val="clear" w:color="auto" w:fill="E6F4FF"/>
            <w:tcMar>
              <w:top w:w="0" w:type="dxa"/>
              <w:left w:w="57" w:type="dxa"/>
              <w:bottom w:w="0" w:type="dxa"/>
              <w:right w:w="57" w:type="dxa"/>
            </w:tcMar>
            <w:vAlign w:val="center"/>
          </w:tcPr>
          <w:p w14:paraId="299833C6">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（三）不予公开</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067B2BC">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1.属于国家秘密</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5F40D3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CA808E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660E58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CA0041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98B827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3C6A37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tcPr>
          <w:p w14:paraId="090CF8C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513598C6">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E43A829">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5CD761D0">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0BB4923">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291503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4C7D20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23F193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18AED9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471A66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767EBE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B5E4E0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1AE080D9">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4AEDB69">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374CCA14">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C92C90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3.危及“三安全一稳定”</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5A6B72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2C5F36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23686B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5435B15">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DD28E1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F893FB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4379D8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6B76C6B6">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A28831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42AE05FE">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10D0022">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339EC55">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A5ED10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C7E6A89">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4DDA64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3DA74C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250D72F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255B246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0648F9EA">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5384225">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7F9998B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9189E9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18BE06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04C1DA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453C44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FDA7CF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CE3DD0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576582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40F95E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3356280B">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34F6748">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041B5466">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B56773F">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62439E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EEDA88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9BA82F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544D31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3956E85">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5C10A0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4FAD14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673D56F3">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4EDD3BB">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0844E9A9">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D04E99E">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7.属于行政执法案卷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2312F3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9814D1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978262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685B34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CB7C95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7DB36D9">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0ED6C7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0B2F5411">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6382B9F">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5C901952">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CA65150">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8.属于行政查询事项</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2DA0B48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2D3429E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00AA7F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4BCD0A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2765939">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26B8BDE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787921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251601E9">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9C6DA84">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943" w:type="dxa"/>
            <w:vMerge w:val="restart"/>
            <w:tcBorders>
              <w:top w:val="nil"/>
              <w:left w:val="nil"/>
              <w:bottom w:val="inset" w:color="auto" w:sz="8" w:space="0"/>
              <w:right w:val="single" w:color="auto" w:sz="8" w:space="0"/>
            </w:tcBorders>
            <w:shd w:val="clear" w:color="auto" w:fill="E6F4FF"/>
            <w:tcMar>
              <w:top w:w="0" w:type="dxa"/>
              <w:left w:w="57" w:type="dxa"/>
              <w:bottom w:w="0" w:type="dxa"/>
              <w:right w:w="57" w:type="dxa"/>
            </w:tcMar>
            <w:vAlign w:val="center"/>
          </w:tcPr>
          <w:p w14:paraId="16753A2D">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（四）无法提供</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02B66E6">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AD1049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57B3C3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628539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F177C7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E9EB7C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4490AA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A96039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369BA89A">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83FEBC2">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6429666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0ABD1AD">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05492F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1C49D2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5086AD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5B55B3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1A75AD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E344B9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88CBA1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465E5CBC">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E3CA62B">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2E52850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4E5638F">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A9F137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8328F64">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118411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B4308B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F2515A4">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DC7030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26919F3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4C2759B5">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5AA097">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943" w:type="dxa"/>
            <w:vMerge w:val="restart"/>
            <w:tcBorders>
              <w:top w:val="nil"/>
              <w:left w:val="nil"/>
              <w:bottom w:val="inset" w:color="auto" w:sz="8" w:space="0"/>
              <w:right w:val="single" w:color="auto" w:sz="8" w:space="0"/>
            </w:tcBorders>
            <w:shd w:val="clear" w:color="auto" w:fill="E6F4FF"/>
            <w:tcMar>
              <w:top w:w="0" w:type="dxa"/>
              <w:left w:w="57" w:type="dxa"/>
              <w:bottom w:w="0" w:type="dxa"/>
              <w:right w:w="57" w:type="dxa"/>
            </w:tcMar>
            <w:vAlign w:val="center"/>
          </w:tcPr>
          <w:p w14:paraId="342F224A">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（五）不予处理</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2649492">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AF8428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1F3328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7D4D2D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5E5110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F361C3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E9CD40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1CB0BE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358E1829">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F83E9BB">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3CA3D9DF">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57D8960">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2.重复申请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D6EA59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9C76AE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D0921D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5B197B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E4C12A9">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DCF19F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98CB76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610BBC31">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5B03A3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6ACB898D">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08FF563">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05842A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495C33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0BF72F4">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C94E82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01D674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24F932A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48D8D0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0BC5E07A">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50FA438">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313B1AE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CD91063">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2637004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194A83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654F4D4">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E90738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00E6D61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F7DAFB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AAEF964">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196261BE">
        <w:tblPrEx>
          <w:tblCellMar>
            <w:top w:w="15" w:type="dxa"/>
            <w:left w:w="15" w:type="dxa"/>
            <w:bottom w:w="15" w:type="dxa"/>
            <w:right w:w="15"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175CEAD5">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nil"/>
              <w:left w:val="nil"/>
              <w:bottom w:val="inset" w:color="auto" w:sz="8" w:space="0"/>
              <w:right w:val="single" w:color="auto" w:sz="8" w:space="0"/>
            </w:tcBorders>
            <w:vAlign w:val="center"/>
          </w:tcPr>
          <w:p w14:paraId="5E7A949D">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inset" w:color="auto" w:sz="8" w:space="0"/>
              <w:right w:val="single" w:color="auto" w:sz="8" w:space="0"/>
            </w:tcBorders>
            <w:shd w:val="clear" w:color="auto" w:fill="E6F4FF"/>
            <w:tcMar>
              <w:top w:w="0" w:type="dxa"/>
              <w:left w:w="57" w:type="dxa"/>
              <w:bottom w:w="0" w:type="dxa"/>
              <w:right w:w="57" w:type="dxa"/>
            </w:tcMar>
            <w:vAlign w:val="center"/>
          </w:tcPr>
          <w:p w14:paraId="59962916">
            <w:pPr>
              <w:keepNext w:val="0"/>
              <w:keepLines w:val="0"/>
              <w:pageBreakBefore w:val="0"/>
              <w:widowControl/>
              <w:shd w:val="clear"/>
              <w:kinsoku/>
              <w:wordWrap/>
              <w:overflowPunct/>
              <w:topLinePunct w:val="0"/>
              <w:autoSpaceDE/>
              <w:bidi w:val="0"/>
              <w:adjustRightInd/>
              <w:snapToGrid/>
              <w:spacing w:line="580" w:lineRule="exac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5.要求行政机关确认或重新出具已获取信息</w:t>
            </w:r>
          </w:p>
        </w:tc>
        <w:tc>
          <w:tcPr>
            <w:tcW w:w="688" w:type="dxa"/>
            <w:tcBorders>
              <w:top w:val="nil"/>
              <w:left w:val="nil"/>
              <w:bottom w:val="inset" w:color="auto" w:sz="8" w:space="0"/>
              <w:right w:val="single" w:color="auto" w:sz="8" w:space="0"/>
            </w:tcBorders>
            <w:shd w:val="clear" w:color="auto" w:fill="E6F4FF"/>
            <w:tcMar>
              <w:top w:w="0" w:type="dxa"/>
              <w:left w:w="57" w:type="dxa"/>
              <w:bottom w:w="0" w:type="dxa"/>
              <w:right w:w="57" w:type="dxa"/>
            </w:tcMar>
          </w:tcPr>
          <w:p w14:paraId="562DF27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inset" w:color="auto" w:sz="8" w:space="0"/>
              <w:right w:val="single" w:color="auto" w:sz="8" w:space="0"/>
            </w:tcBorders>
            <w:shd w:val="clear" w:color="auto" w:fill="E6F4FF"/>
            <w:tcMar>
              <w:top w:w="0" w:type="dxa"/>
              <w:left w:w="57" w:type="dxa"/>
              <w:bottom w:w="0" w:type="dxa"/>
              <w:right w:w="57" w:type="dxa"/>
            </w:tcMar>
          </w:tcPr>
          <w:p w14:paraId="78079AF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inset" w:color="auto" w:sz="8" w:space="0"/>
              <w:right w:val="single" w:color="auto" w:sz="8" w:space="0"/>
            </w:tcBorders>
            <w:shd w:val="clear" w:color="auto" w:fill="E6F4FF"/>
            <w:tcMar>
              <w:top w:w="0" w:type="dxa"/>
              <w:left w:w="57" w:type="dxa"/>
              <w:bottom w:w="0" w:type="dxa"/>
              <w:right w:w="57" w:type="dxa"/>
            </w:tcMar>
          </w:tcPr>
          <w:p w14:paraId="488F8A8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inset" w:color="auto" w:sz="8" w:space="0"/>
              <w:right w:val="single" w:color="auto" w:sz="8" w:space="0"/>
            </w:tcBorders>
            <w:shd w:val="clear" w:color="auto" w:fill="E6F4FF"/>
            <w:tcMar>
              <w:top w:w="0" w:type="dxa"/>
              <w:left w:w="57" w:type="dxa"/>
              <w:bottom w:w="0" w:type="dxa"/>
              <w:right w:w="57" w:type="dxa"/>
            </w:tcMar>
          </w:tcPr>
          <w:p w14:paraId="41E2A4F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inset" w:color="auto" w:sz="8" w:space="0"/>
              <w:right w:val="single" w:color="auto" w:sz="8" w:space="0"/>
            </w:tcBorders>
            <w:shd w:val="clear" w:color="auto" w:fill="E6F4FF"/>
            <w:tcMar>
              <w:top w:w="0" w:type="dxa"/>
              <w:left w:w="57" w:type="dxa"/>
              <w:bottom w:w="0" w:type="dxa"/>
              <w:right w:w="57" w:type="dxa"/>
            </w:tcMar>
          </w:tcPr>
          <w:p w14:paraId="76FA6274">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inset" w:color="auto" w:sz="8" w:space="0"/>
              <w:right w:val="single" w:color="auto" w:sz="8" w:space="0"/>
            </w:tcBorders>
            <w:shd w:val="clear" w:color="auto" w:fill="E6F4FF"/>
            <w:tcMar>
              <w:top w:w="0" w:type="dxa"/>
              <w:left w:w="57" w:type="dxa"/>
              <w:bottom w:w="0" w:type="dxa"/>
              <w:right w:w="57" w:type="dxa"/>
            </w:tcMar>
          </w:tcPr>
          <w:p w14:paraId="38EDA7E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inset" w:color="auto" w:sz="8" w:space="0"/>
              <w:right w:val="single" w:color="auto" w:sz="8" w:space="0"/>
            </w:tcBorders>
            <w:shd w:val="clear" w:color="auto" w:fill="E6F4FF"/>
            <w:tcMar>
              <w:top w:w="0" w:type="dxa"/>
              <w:left w:w="57" w:type="dxa"/>
              <w:bottom w:w="0" w:type="dxa"/>
              <w:right w:w="57" w:type="dxa"/>
            </w:tcMar>
          </w:tcPr>
          <w:p w14:paraId="363CAE4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3F2BDF69">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5E37B8E">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943" w:type="dxa"/>
            <w:vMerge w:val="restart"/>
            <w:tcBorders>
              <w:top w:val="inset" w:color="auto" w:sz="8" w:space="0"/>
              <w:left w:val="nil"/>
              <w:bottom w:val="inset" w:color="auto" w:sz="8" w:space="0"/>
              <w:right w:val="single" w:color="auto" w:sz="8" w:space="0"/>
            </w:tcBorders>
            <w:shd w:val="clear" w:color="auto" w:fill="E6F4FF"/>
            <w:tcMar>
              <w:top w:w="0" w:type="dxa"/>
              <w:left w:w="57" w:type="dxa"/>
              <w:bottom w:w="0" w:type="dxa"/>
              <w:right w:w="57" w:type="dxa"/>
            </w:tcMar>
            <w:vAlign w:val="center"/>
          </w:tcPr>
          <w:p w14:paraId="2B1C2B94">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（六）其他处理</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230731D">
            <w:pPr>
              <w:keepNext w:val="0"/>
              <w:keepLines w:val="0"/>
              <w:pageBreakBefore w:val="0"/>
              <w:widowControl/>
              <w:shd w:val="clear"/>
              <w:kinsoku/>
              <w:wordWrap/>
              <w:overflowPunct/>
              <w:topLinePunct w:val="0"/>
              <w:autoSpaceDE/>
              <w:bidi w:val="0"/>
              <w:adjustRightInd/>
              <w:snapToGrid/>
              <w:spacing w:line="580" w:lineRule="exac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239E6DF">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212BCD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DA9EF36">
            <w:pPr>
              <w:keepNext w:val="0"/>
              <w:keepLines w:val="0"/>
              <w:pageBreakBefore w:val="0"/>
              <w:widowControl/>
              <w:shd w:val="clear"/>
              <w:kinsoku/>
              <w:wordWrap/>
              <w:overflowPunct/>
              <w:topLinePunct w:val="0"/>
              <w:autoSpaceDE/>
              <w:bidi w:val="0"/>
              <w:adjustRightInd/>
              <w:snapToGrid/>
              <w:spacing w:line="580" w:lineRule="exact"/>
              <w:ind w:firstLine="200" w:firstLineChars="100"/>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40AA42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494BEF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F29450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26BD2A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0"/>
                <w:szCs w:val="20"/>
              </w:rPr>
            </w:pPr>
            <w:r>
              <w:rPr>
                <w:rFonts w:ascii="宋体" w:hAnsi="宋体" w:eastAsia="宋体" w:cs="宋体"/>
                <w:b w:val="0"/>
                <w:bCs/>
                <w:color w:val="000000"/>
                <w:kern w:val="0"/>
                <w:sz w:val="20"/>
                <w:szCs w:val="20"/>
              </w:rPr>
              <w:t> </w:t>
            </w:r>
          </w:p>
          <w:p w14:paraId="14C1D5E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391FE7D9">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18F556F">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2DE04C34">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F09E8CE">
            <w:pPr>
              <w:keepNext w:val="0"/>
              <w:keepLines w:val="0"/>
              <w:pageBreakBefore w:val="0"/>
              <w:widowControl/>
              <w:shd w:val="clear"/>
              <w:kinsoku/>
              <w:wordWrap/>
              <w:overflowPunct/>
              <w:topLinePunct w:val="0"/>
              <w:autoSpaceDE/>
              <w:bidi w:val="0"/>
              <w:adjustRightInd/>
              <w:snapToGrid/>
              <w:spacing w:line="580" w:lineRule="exac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0C6253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9CB82E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843734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293D2B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A20209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A13B82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4E41F7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7451FCB4">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1787A59">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6D34865D">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A9CED29">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3.其他</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88EDB4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389D60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B2DB13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EA8448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3574F6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B41683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3281F01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7ADCD540">
        <w:tblPrEx>
          <w:tblCellMar>
            <w:top w:w="15" w:type="dxa"/>
            <w:left w:w="15" w:type="dxa"/>
            <w:bottom w:w="15" w:type="dxa"/>
            <w:right w:w="15"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068CA4E">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5FD27E3">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（七）总计</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629E79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6F1ABB5">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41413C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2B2D55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EB6D687">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5C9CA98">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8C2660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r>
      <w:tr w14:paraId="54B433F1">
        <w:tblPrEx>
          <w:tblCellMar>
            <w:top w:w="15" w:type="dxa"/>
            <w:left w:w="15" w:type="dxa"/>
            <w:bottom w:w="15" w:type="dxa"/>
            <w:right w:w="15"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0E72202A">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四、结转下年度继续办理</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48F889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09E589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FE7B2F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520CA9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F7A39B2">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143E45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276C62F">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ascii="宋体" w:hAnsi="宋体" w:eastAsia="宋体" w:cs="宋体"/>
                <w:b w:val="0"/>
                <w:bCs/>
                <w:color w:val="000000"/>
                <w:kern w:val="0"/>
                <w:sz w:val="20"/>
                <w:szCs w:val="20"/>
              </w:rPr>
            </w:pPr>
            <w:r>
              <w:rPr>
                <w:rFonts w:hint="eastAsia" w:ascii="宋体" w:hAnsi="宋体" w:eastAsia="宋体" w:cs="宋体"/>
                <w:b w:val="0"/>
                <w:bCs/>
                <w:color w:val="000000"/>
                <w:kern w:val="0"/>
                <w:sz w:val="24"/>
                <w:szCs w:val="24"/>
              </w:rPr>
              <w:t xml:space="preserve">  </w:t>
            </w:r>
            <w:r>
              <w:rPr>
                <w:rFonts w:hint="eastAsia" w:ascii="宋体" w:hAnsi="宋体" w:eastAsia="宋体" w:cs="宋体"/>
                <w:b w:val="0"/>
                <w:bCs/>
                <w:color w:val="000000"/>
                <w:kern w:val="0"/>
                <w:sz w:val="20"/>
                <w:szCs w:val="20"/>
              </w:rPr>
              <w:t>0</w:t>
            </w:r>
          </w:p>
        </w:tc>
      </w:tr>
    </w:tbl>
    <w:p w14:paraId="70B50333">
      <w:pPr>
        <w:keepNext w:val="0"/>
        <w:keepLines w:val="0"/>
        <w:pageBreakBefore w:val="0"/>
        <w:shd w:val="clear"/>
        <w:kinsoku/>
        <w:wordWrap/>
        <w:overflowPunct/>
        <w:topLinePunct w:val="0"/>
        <w:autoSpaceDE/>
        <w:bidi w:val="0"/>
        <w:adjustRightInd/>
        <w:snapToGrid/>
        <w:spacing w:line="580" w:lineRule="exact"/>
        <w:ind w:firstLine="640" w:firstLineChars="200"/>
        <w:textAlignment w:val="auto"/>
        <w:rPr>
          <w:rFonts w:ascii="黑体" w:hAnsi="黑体" w:eastAsia="黑体"/>
          <w:b w:val="0"/>
          <w:bCs/>
          <w:sz w:val="32"/>
          <w:szCs w:val="32"/>
        </w:rPr>
      </w:pPr>
      <w:r>
        <w:rPr>
          <w:rFonts w:hint="eastAsia" w:ascii="黑体" w:hAnsi="黑体" w:eastAsia="黑体"/>
          <w:b w:val="0"/>
          <w:bCs/>
          <w:sz w:val="32"/>
          <w:szCs w:val="32"/>
        </w:rPr>
        <w:t>四、政府信息公开行政复议、行政诉讼情况</w:t>
      </w:r>
    </w:p>
    <w:tbl>
      <w:tblPr>
        <w:tblStyle w:val="5"/>
        <w:tblW w:w="9748" w:type="dxa"/>
        <w:jc w:val="center"/>
        <w:tblLayout w:type="autofit"/>
        <w:tblCellMar>
          <w:top w:w="15" w:type="dxa"/>
          <w:left w:w="15" w:type="dxa"/>
          <w:bottom w:w="15" w:type="dxa"/>
          <w:right w:w="15"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427AD826">
        <w:tblPrEx>
          <w:tblCellMar>
            <w:top w:w="15" w:type="dxa"/>
            <w:left w:w="15" w:type="dxa"/>
            <w:bottom w:w="15" w:type="dxa"/>
            <w:right w:w="15"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7E7920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4F8C37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ascii="宋体" w:hAnsi="宋体" w:eastAsia="宋体" w:cs="宋体"/>
                <w:b w:val="0"/>
                <w:bCs/>
                <w:color w:val="000000"/>
                <w:kern w:val="0"/>
                <w:sz w:val="24"/>
                <w:szCs w:val="24"/>
              </w:rPr>
            </w:pPr>
            <w:r>
              <w:rPr>
                <w:rFonts w:hint="eastAsia" w:ascii="宋体" w:hAnsi="宋体" w:eastAsia="宋体" w:cs="宋体"/>
                <w:b w:val="0"/>
                <w:bCs/>
                <w:color w:val="000000"/>
                <w:kern w:val="0"/>
                <w:sz w:val="20"/>
                <w:szCs w:val="20"/>
              </w:rPr>
              <w:t>行政诉讼</w:t>
            </w:r>
          </w:p>
        </w:tc>
      </w:tr>
      <w:tr w14:paraId="5D308890">
        <w:tblPrEx>
          <w:tblCellMar>
            <w:top w:w="15" w:type="dxa"/>
            <w:left w:w="15" w:type="dxa"/>
            <w:bottom w:w="15" w:type="dxa"/>
            <w:right w:w="15"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755995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03BA0C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结果纠正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7761455">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其他结果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E63DBD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尚未审结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6224EE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57187B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4623E9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复议后起诉</w:t>
            </w:r>
          </w:p>
        </w:tc>
      </w:tr>
      <w:tr w14:paraId="25869110">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B203028">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258B729E">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A9E68C1">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B357310">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AB60613">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4"/>
                <w:szCs w:val="24"/>
              </w:rPr>
            </w:pP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CD55C8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结果维持</w:t>
            </w: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D97CFA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结果纠正</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FA5F9B5">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其他结果</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6A0F83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尚未审结</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092B1C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37C86F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结果维持</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239644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结果纠正</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E32A7A4">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其他结果</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B70563C">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尚未审结</w:t>
            </w:r>
          </w:p>
        </w:tc>
        <w:tc>
          <w:tcPr>
            <w:tcW w:w="650"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EA1F06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4"/>
                <w:szCs w:val="24"/>
              </w:rPr>
            </w:pPr>
            <w:r>
              <w:rPr>
                <w:rFonts w:hint="eastAsia" w:cs="宋体" w:asciiTheme="minorEastAsia" w:hAnsiTheme="minorEastAsia"/>
                <w:b w:val="0"/>
                <w:bCs/>
                <w:color w:val="000000"/>
                <w:kern w:val="0"/>
                <w:sz w:val="20"/>
                <w:szCs w:val="20"/>
              </w:rPr>
              <w:t>总计</w:t>
            </w:r>
          </w:p>
        </w:tc>
      </w:tr>
      <w:tr w14:paraId="04569E00">
        <w:tblPrEx>
          <w:tblCellMar>
            <w:top w:w="15" w:type="dxa"/>
            <w:left w:w="15" w:type="dxa"/>
            <w:bottom w:w="15" w:type="dxa"/>
            <w:right w:w="15"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BC3E453">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7CECCF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C672A7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6787D5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63A7E1D">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F48BC8B">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4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702E2A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0FD0CB1">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74454BA">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AC69880">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0491FE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6C29F8E">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EA216C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158D216">
            <w:pPr>
              <w:keepNext w:val="0"/>
              <w:keepLines w:val="0"/>
              <w:pageBreakBefore w:val="0"/>
              <w:widowControl/>
              <w:shd w:val="clear"/>
              <w:kinsoku/>
              <w:wordWrap/>
              <w:overflowPunct/>
              <w:topLinePunct w:val="0"/>
              <w:autoSpaceDE/>
              <w:bidi w:val="0"/>
              <w:adjustRightInd/>
              <w:snapToGrid/>
              <w:spacing w:line="580" w:lineRule="exact"/>
              <w:jc w:val="center"/>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0</w:t>
            </w:r>
          </w:p>
        </w:tc>
        <w:tc>
          <w:tcPr>
            <w:tcW w:w="6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C11AA89">
            <w:pPr>
              <w:keepNext w:val="0"/>
              <w:keepLines w:val="0"/>
              <w:pageBreakBefore w:val="0"/>
              <w:widowControl/>
              <w:shd w:val="clear"/>
              <w:kinsoku/>
              <w:wordWrap/>
              <w:overflowPunct/>
              <w:topLinePunct w:val="0"/>
              <w:autoSpaceDE/>
              <w:bidi w:val="0"/>
              <w:adjustRightInd/>
              <w:snapToGrid/>
              <w:spacing w:line="580" w:lineRule="exact"/>
              <w:jc w:val="left"/>
              <w:textAlignment w:val="auto"/>
              <w:rPr>
                <w:rFonts w:cs="宋体" w:asciiTheme="minorEastAsia" w:hAnsiTheme="minorEastAsia"/>
                <w:b w:val="0"/>
                <w:bCs/>
                <w:color w:val="000000"/>
                <w:kern w:val="0"/>
                <w:sz w:val="20"/>
                <w:szCs w:val="20"/>
              </w:rPr>
            </w:pPr>
            <w:r>
              <w:rPr>
                <w:rFonts w:hint="eastAsia" w:cs="宋体" w:asciiTheme="minorEastAsia" w:hAnsiTheme="minorEastAsia"/>
                <w:b w:val="0"/>
                <w:bCs/>
                <w:color w:val="000000"/>
                <w:kern w:val="0"/>
                <w:sz w:val="20"/>
                <w:szCs w:val="20"/>
              </w:rPr>
              <w:t xml:space="preserve">  0</w:t>
            </w:r>
          </w:p>
        </w:tc>
      </w:tr>
    </w:tbl>
    <w:p w14:paraId="119E23F9">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黑体" w:hAnsi="黑体" w:eastAsia="黑体"/>
          <w:b w:val="0"/>
          <w:bCs/>
          <w:sz w:val="32"/>
          <w:szCs w:val="32"/>
        </w:rPr>
      </w:pPr>
      <w:r>
        <w:rPr>
          <w:rFonts w:hint="eastAsia" w:ascii="黑体" w:hAnsi="黑体" w:eastAsia="黑体"/>
          <w:b w:val="0"/>
          <w:bCs/>
          <w:sz w:val="32"/>
          <w:szCs w:val="32"/>
        </w:rPr>
        <w:t>五、存在的主要问题及改进情况</w:t>
      </w:r>
    </w:p>
    <w:p w14:paraId="17C11D52">
      <w:pPr>
        <w:keepNext w:val="0"/>
        <w:keepLines w:val="0"/>
        <w:pageBreakBefore w:val="0"/>
        <w:kinsoku/>
        <w:wordWrap/>
        <w:overflowPunct/>
        <w:topLinePunct w:val="0"/>
        <w:autoSpaceDE/>
        <w:autoSpaceDN w:val="0"/>
        <w:bidi w:val="0"/>
        <w:adjustRightInd/>
        <w:snapToGrid/>
        <w:spacing w:line="580" w:lineRule="exact"/>
        <w:ind w:firstLine="640" w:firstLineChars="200"/>
        <w:textAlignment w:val="auto"/>
        <w:rPr>
          <w:rFonts w:ascii="黑体" w:hAnsi="黑体" w:eastAsia="黑体"/>
          <w:b w:val="0"/>
          <w:bCs/>
          <w:sz w:val="32"/>
          <w:szCs w:val="32"/>
        </w:rPr>
      </w:pPr>
      <w:r>
        <w:rPr>
          <w:rFonts w:hint="eastAsia" w:ascii="楷体_GB2312" w:hAnsi="宋体" w:eastAsia="楷体_GB2312" w:cs="宋体"/>
          <w:b w:val="0"/>
          <w:bCs/>
          <w:kern w:val="0"/>
          <w:sz w:val="32"/>
          <w:szCs w:val="32"/>
        </w:rPr>
        <w:t>2025年存在的主要问题</w:t>
      </w:r>
    </w:p>
    <w:p w14:paraId="6CC15AAC">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hint="eastAsia"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今年以来，政务信息公开工作取得了一定的成效，但也存在一些不足。</w:t>
      </w:r>
      <w:r>
        <w:rPr>
          <w:rFonts w:hint="eastAsia" w:ascii="仿宋_GB2312" w:hAnsi="宋体" w:eastAsia="仿宋_GB2312" w:cs="宋体"/>
          <w:b w:val="0"/>
          <w:bCs/>
          <w:kern w:val="0"/>
          <w:sz w:val="32"/>
          <w:szCs w:val="32"/>
          <w:lang w:val="en-US" w:eastAsia="zh-CN"/>
        </w:rPr>
        <w:t>一是</w:t>
      </w:r>
      <w:r>
        <w:rPr>
          <w:rFonts w:hint="eastAsia" w:ascii="仿宋_GB2312" w:hAnsi="宋体" w:eastAsia="仿宋_GB2312" w:cs="宋体"/>
          <w:b w:val="0"/>
          <w:bCs/>
          <w:kern w:val="0"/>
          <w:sz w:val="32"/>
          <w:szCs w:val="32"/>
        </w:rPr>
        <w:t>信息公开的深度和广度有待提高</w:t>
      </w:r>
      <w:r>
        <w:rPr>
          <w:rFonts w:hint="eastAsia" w:ascii="仿宋_GB2312" w:hAnsi="宋体" w:eastAsia="仿宋_GB2312" w:cs="宋体"/>
          <w:b w:val="0"/>
          <w:bCs/>
          <w:kern w:val="0"/>
          <w:sz w:val="32"/>
          <w:szCs w:val="32"/>
          <w:lang w:eastAsia="zh-CN"/>
        </w:rPr>
        <w:t>；</w:t>
      </w:r>
      <w:r>
        <w:rPr>
          <w:rFonts w:hint="eastAsia" w:ascii="仿宋_GB2312" w:hAnsi="宋体" w:eastAsia="仿宋_GB2312" w:cs="宋体"/>
          <w:b w:val="0"/>
          <w:bCs/>
          <w:kern w:val="0"/>
          <w:sz w:val="32"/>
          <w:szCs w:val="32"/>
        </w:rPr>
        <w:t>二</w:t>
      </w:r>
      <w:r>
        <w:rPr>
          <w:rFonts w:hint="eastAsia" w:ascii="仿宋_GB2312" w:hAnsi="宋体" w:eastAsia="仿宋_GB2312" w:cs="宋体"/>
          <w:b w:val="0"/>
          <w:bCs/>
          <w:kern w:val="0"/>
          <w:sz w:val="32"/>
          <w:szCs w:val="32"/>
          <w:lang w:val="en-US" w:eastAsia="zh-CN"/>
        </w:rPr>
        <w:t>是</w:t>
      </w:r>
      <w:r>
        <w:rPr>
          <w:rFonts w:hint="eastAsia" w:ascii="仿宋_GB2312" w:hAnsi="宋体" w:eastAsia="仿宋_GB2312" w:cs="宋体"/>
          <w:b w:val="0"/>
          <w:bCs/>
          <w:kern w:val="0"/>
          <w:sz w:val="32"/>
          <w:szCs w:val="32"/>
        </w:rPr>
        <w:t>发布的信息形式较为单一。</w:t>
      </w:r>
    </w:p>
    <w:p w14:paraId="076830C5">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楷体_GB2312" w:hAnsi="宋体" w:eastAsia="楷体_GB2312" w:cs="宋体"/>
          <w:b w:val="0"/>
          <w:bCs/>
          <w:kern w:val="0"/>
          <w:sz w:val="32"/>
          <w:szCs w:val="32"/>
        </w:rPr>
      </w:pPr>
      <w:r>
        <w:rPr>
          <w:rFonts w:hint="eastAsia" w:ascii="楷体_GB2312" w:hAnsi="宋体" w:eastAsia="楷体_GB2312" w:cs="宋体"/>
          <w:b w:val="0"/>
          <w:bCs/>
          <w:kern w:val="0"/>
          <w:sz w:val="32"/>
          <w:szCs w:val="32"/>
        </w:rPr>
        <w:t>改进措施</w:t>
      </w:r>
    </w:p>
    <w:p w14:paraId="36B92F21">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hint="eastAsia" w:ascii="仿宋_GB2312" w:hAnsi="宋体" w:eastAsia="仿宋_GB2312" w:cs="宋体"/>
          <w:b w:val="0"/>
          <w:bCs/>
          <w:kern w:val="0"/>
          <w:sz w:val="32"/>
          <w:szCs w:val="32"/>
        </w:rPr>
      </w:pPr>
      <w:r>
        <w:rPr>
          <w:rFonts w:hint="eastAsia" w:ascii="仿宋_GB2312" w:hAnsi="宋体" w:eastAsia="仿宋_GB2312" w:cs="宋体"/>
          <w:b w:val="0"/>
          <w:bCs/>
          <w:kern w:val="0"/>
          <w:sz w:val="32"/>
          <w:szCs w:val="32"/>
        </w:rPr>
        <w:t>一是深化信息公开内容，提高公众的理解度。二是加强与公众的互动交流，及时回复公众的留言和咨询，增强公众的参与感。</w:t>
      </w:r>
    </w:p>
    <w:p w14:paraId="57403339">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黑体" w:hAnsi="黑体" w:eastAsia="黑体"/>
          <w:b w:val="0"/>
          <w:bCs/>
          <w:sz w:val="32"/>
          <w:szCs w:val="32"/>
        </w:rPr>
      </w:pPr>
      <w:r>
        <w:rPr>
          <w:rFonts w:ascii="黑体" w:hAnsi="黑体" w:eastAsia="黑体"/>
          <w:b w:val="0"/>
          <w:bCs/>
          <w:sz w:val="32"/>
          <w:szCs w:val="32"/>
        </w:rPr>
        <w:t>六、其他需要报告的事项</w:t>
      </w:r>
    </w:p>
    <w:p w14:paraId="2941455D">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ascii="楷体_GB2312" w:hAnsi="宋体" w:eastAsia="楷体_GB2312" w:cs="宋体"/>
          <w:b w:val="0"/>
          <w:bCs/>
          <w:kern w:val="0"/>
          <w:sz w:val="32"/>
          <w:szCs w:val="32"/>
        </w:rPr>
      </w:pPr>
      <w:r>
        <w:rPr>
          <w:rFonts w:ascii="楷体_GB2312" w:hAnsi="宋体" w:eastAsia="楷体_GB2312" w:cs="宋体"/>
          <w:b w:val="0"/>
          <w:bCs/>
          <w:kern w:val="0"/>
          <w:sz w:val="32"/>
          <w:szCs w:val="32"/>
        </w:rPr>
        <w:t>（一）收取信息处理费的情况</w:t>
      </w:r>
    </w:p>
    <w:p w14:paraId="35E2E492">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ascii="仿宋_GB2312" w:hAnsi="宋体" w:eastAsia="仿宋_GB2312" w:cs="宋体"/>
          <w:b w:val="0"/>
          <w:bCs/>
          <w:kern w:val="0"/>
          <w:sz w:val="32"/>
          <w:szCs w:val="32"/>
        </w:rPr>
      </w:pPr>
      <w:r>
        <w:rPr>
          <w:rFonts w:ascii="仿宋_GB2312" w:hAnsi="宋体" w:eastAsia="仿宋_GB2312" w:cs="宋体"/>
          <w:b w:val="0"/>
          <w:bCs/>
          <w:kern w:val="0"/>
          <w:sz w:val="32"/>
          <w:szCs w:val="32"/>
        </w:rPr>
        <w:t>本机关严格贯彻落实《国务院办公厅关于印发&lt;政府信息公开信息处理费管理办法&gt;的通知》（国办函〔2020〕109号）和《山东省人民政府办公厅关于做好政府信息公开信息处理费管理工作有关事项的通知》（鲁政办字〔2020〕179号）要求，202</w:t>
      </w:r>
      <w:r>
        <w:rPr>
          <w:rFonts w:hint="eastAsia" w:ascii="仿宋_GB2312" w:hAnsi="宋体" w:eastAsia="仿宋_GB2312" w:cs="宋体"/>
          <w:b w:val="0"/>
          <w:bCs/>
          <w:kern w:val="0"/>
          <w:sz w:val="32"/>
          <w:szCs w:val="32"/>
        </w:rPr>
        <w:t>5</w:t>
      </w:r>
      <w:r>
        <w:rPr>
          <w:rFonts w:ascii="仿宋_GB2312" w:hAnsi="宋体" w:eastAsia="仿宋_GB2312" w:cs="宋体"/>
          <w:b w:val="0"/>
          <w:bCs/>
          <w:kern w:val="0"/>
          <w:sz w:val="32"/>
          <w:szCs w:val="32"/>
        </w:rPr>
        <w:t>年度未收取政府信息公开信息处理费，包括：检索费、复制费（含案卷材料复制费）、邮寄费。</w:t>
      </w:r>
    </w:p>
    <w:p w14:paraId="4B0E11FB">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ascii="楷体_GB2312" w:hAnsi="宋体" w:eastAsia="楷体_GB2312" w:cs="宋体"/>
          <w:b w:val="0"/>
          <w:bCs/>
          <w:kern w:val="0"/>
          <w:sz w:val="32"/>
          <w:szCs w:val="32"/>
        </w:rPr>
      </w:pP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val="en-US" w:eastAsia="zh-CN"/>
        </w:rPr>
        <w:t>上级年度政务公开工作要点落实情况。</w:t>
      </w:r>
    </w:p>
    <w:p w14:paraId="4070F48A">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ascii="仿宋_GB2312" w:hAnsi="宋体" w:eastAsia="仿宋_GB2312" w:cs="宋体"/>
          <w:b w:val="0"/>
          <w:bCs/>
          <w:kern w:val="0"/>
          <w:sz w:val="32"/>
          <w:szCs w:val="32"/>
        </w:rPr>
      </w:pPr>
      <w:r>
        <w:rPr>
          <w:rFonts w:ascii="仿宋_GB2312" w:hAnsi="宋体" w:eastAsia="仿宋_GB2312" w:cs="宋体"/>
          <w:b w:val="0"/>
          <w:bCs/>
          <w:kern w:val="0"/>
          <w:sz w:val="32"/>
          <w:szCs w:val="32"/>
        </w:rPr>
        <w:t>严格按照政务公开工作要点落实工作，做到了公开、透明。</w:t>
      </w:r>
    </w:p>
    <w:p w14:paraId="43DD14AB">
      <w:pPr>
        <w:keepNext w:val="0"/>
        <w:keepLines w:val="0"/>
        <w:pageBreakBefore w:val="0"/>
        <w:kinsoku/>
        <w:wordWrap/>
        <w:overflowPunct/>
        <w:topLinePunct w:val="0"/>
        <w:autoSpaceDE/>
        <w:bidi w:val="0"/>
        <w:adjustRightInd/>
        <w:snapToGrid/>
        <w:spacing w:line="580" w:lineRule="exact"/>
        <w:ind w:firstLine="640" w:firstLineChars="200"/>
        <w:jc w:val="left"/>
        <w:textAlignment w:val="auto"/>
        <w:rPr>
          <w:rFonts w:ascii="仿宋_GB2312" w:hAnsi="宋体" w:eastAsia="仿宋_GB2312" w:cs="宋体"/>
          <w:b w:val="0"/>
          <w:bCs/>
          <w:kern w:val="0"/>
          <w:sz w:val="32"/>
          <w:szCs w:val="32"/>
        </w:rPr>
      </w:pPr>
      <w:r>
        <w:rPr>
          <w:rFonts w:hint="eastAsia" w:ascii="楷体_GB2312" w:hAnsi="楷体_GB2312" w:eastAsia="楷体_GB2312" w:cs="楷体_GB2312"/>
          <w:b w:val="0"/>
          <w:bCs/>
          <w:kern w:val="0"/>
          <w:sz w:val="32"/>
          <w:szCs w:val="32"/>
        </w:rPr>
        <w:t>(三)人大代表建议和政协提案办理情况。</w:t>
      </w:r>
      <w:r>
        <w:rPr>
          <w:rFonts w:hint="eastAsia" w:ascii="仿宋_GB2312" w:hAnsi="宋体" w:eastAsia="仿宋_GB2312" w:cs="宋体"/>
          <w:b w:val="0"/>
          <w:bCs/>
          <w:kern w:val="0"/>
          <w:sz w:val="32"/>
          <w:szCs w:val="32"/>
        </w:rPr>
        <w:t>2025年，县退役军人事务局未承办人大代表建议和政协提案。</w:t>
      </w:r>
    </w:p>
    <w:p w14:paraId="3AA84D41">
      <w:pPr>
        <w:keepNext w:val="0"/>
        <w:keepLines w:val="0"/>
        <w:pageBreakBefore w:val="0"/>
        <w:widowControl/>
        <w:shd w:val="clear" w:color="auto" w:fill="FFFFFF"/>
        <w:kinsoku/>
        <w:wordWrap/>
        <w:overflowPunct/>
        <w:topLinePunct w:val="0"/>
        <w:autoSpaceDE/>
        <w:bidi w:val="0"/>
        <w:adjustRightInd/>
        <w:snapToGrid/>
        <w:spacing w:line="580" w:lineRule="exact"/>
        <w:ind w:firstLine="640"/>
        <w:jc w:val="left"/>
        <w:textAlignment w:val="auto"/>
        <w:rPr>
          <w:rFonts w:ascii="仿宋_GB2312" w:hAnsi="宋体" w:eastAsia="仿宋_GB2312" w:cs="宋体"/>
          <w:b w:val="0"/>
          <w:bCs/>
          <w:kern w:val="0"/>
          <w:sz w:val="32"/>
          <w:szCs w:val="32"/>
        </w:rPr>
      </w:pPr>
      <w:r>
        <w:rPr>
          <w:rFonts w:hint="eastAsia" w:ascii="楷体_GB2312" w:hAnsi="楷体_GB2312" w:eastAsia="楷体_GB2312" w:cs="楷体_GB2312"/>
          <w:bCs/>
          <w:kern w:val="0"/>
          <w:sz w:val="32"/>
          <w:szCs w:val="32"/>
          <w:lang w:val="en-US" w:eastAsia="zh-CN"/>
        </w:rPr>
        <w:t>（四）年度政务公开工作创新情况。</w:t>
      </w:r>
      <w:r>
        <w:rPr>
          <w:rFonts w:ascii="仿宋_GB2312" w:hAnsi="宋体" w:eastAsia="仿宋_GB2312" w:cs="宋体"/>
          <w:b w:val="0"/>
          <w:bCs/>
          <w:kern w:val="0"/>
          <w:sz w:val="32"/>
          <w:szCs w:val="32"/>
        </w:rPr>
        <w:t>充分发挥门户网站主渠道作用，主动公开各类有关退役军人工作信息，提高公众对退役军人工作的知晓度。</w:t>
      </w:r>
    </w:p>
    <w:p w14:paraId="2ED7A16D">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仿宋_GB2312" w:hAnsi="宋体" w:eastAsia="仿宋_GB2312" w:cs="宋体"/>
          <w:b w:val="0"/>
          <w:bCs/>
          <w:kern w:val="0"/>
          <w:sz w:val="32"/>
          <w:szCs w:val="32"/>
        </w:rPr>
      </w:pPr>
      <w:r>
        <w:rPr>
          <w:rFonts w:hint="eastAsia" w:ascii="楷体_GB2312" w:hAnsi="楷体_GB2312" w:eastAsia="楷体_GB2312" w:cs="楷体_GB2312"/>
          <w:b w:val="0"/>
          <w:bCs/>
          <w:kern w:val="0"/>
          <w:sz w:val="32"/>
          <w:szCs w:val="32"/>
        </w:rPr>
        <w:t>(五)报告数据统计说明。</w:t>
      </w:r>
      <w:r>
        <w:rPr>
          <w:rFonts w:hint="eastAsia" w:ascii="仿宋_GB2312" w:hAnsi="宋体" w:eastAsia="仿宋_GB2312" w:cs="宋体"/>
          <w:b w:val="0"/>
          <w:bCs/>
          <w:kern w:val="0"/>
          <w:sz w:val="32"/>
          <w:szCs w:val="32"/>
        </w:rPr>
        <w:t>本报告所列数据统计期限为2025年1月1日至2025年12月31日。</w:t>
      </w:r>
    </w:p>
    <w:p w14:paraId="3B3504DB">
      <w:pPr>
        <w:keepNext w:val="0"/>
        <w:keepLines w:val="0"/>
        <w:pageBreakBefore w:val="0"/>
        <w:kinsoku/>
        <w:wordWrap/>
        <w:overflowPunct/>
        <w:topLinePunct w:val="0"/>
        <w:autoSpaceDE/>
        <w:bidi w:val="0"/>
        <w:adjustRightInd/>
        <w:snapToGrid/>
        <w:spacing w:line="580" w:lineRule="exact"/>
        <w:ind w:firstLine="640" w:firstLineChars="200"/>
        <w:jc w:val="left"/>
        <w:textAlignment w:val="auto"/>
        <w:rPr>
          <w:rFonts w:ascii="仿宋_GB2312" w:hAnsi="宋体" w:eastAsia="仿宋_GB2312" w:cs="宋体"/>
          <w:b w:val="0"/>
          <w:bCs/>
          <w:kern w:val="0"/>
          <w:sz w:val="32"/>
          <w:szCs w:val="32"/>
        </w:rPr>
      </w:pPr>
      <w:r>
        <w:rPr>
          <w:rFonts w:hint="eastAsia" w:ascii="楷体_GB2312" w:hAnsi="楷体_GB2312" w:eastAsia="楷体_GB2312" w:cs="楷体_GB2312"/>
          <w:b w:val="0"/>
          <w:bCs/>
          <w:kern w:val="0"/>
          <w:sz w:val="32"/>
          <w:szCs w:val="32"/>
        </w:rPr>
        <w:t>(六)本行政机关认为需要报告的其他事项。</w:t>
      </w:r>
      <w:r>
        <w:rPr>
          <w:rFonts w:hint="eastAsia" w:ascii="仿宋_GB2312" w:hAnsi="宋体" w:eastAsia="仿宋_GB2312" w:cs="宋体"/>
          <w:b w:val="0"/>
          <w:bCs/>
          <w:kern w:val="0"/>
          <w:sz w:val="32"/>
          <w:szCs w:val="32"/>
        </w:rPr>
        <w:t>无。</w:t>
      </w:r>
    </w:p>
    <w:p w14:paraId="39B79F08">
      <w:pPr>
        <w:keepNext w:val="0"/>
        <w:keepLines w:val="0"/>
        <w:pageBreakBefore w:val="0"/>
        <w:tabs>
          <w:tab w:val="left" w:pos="7065"/>
        </w:tabs>
        <w:kinsoku/>
        <w:wordWrap/>
        <w:overflowPunct/>
        <w:topLinePunct w:val="0"/>
        <w:autoSpaceDE/>
        <w:bidi w:val="0"/>
        <w:adjustRightInd/>
        <w:snapToGrid/>
        <w:spacing w:line="580" w:lineRule="exact"/>
        <w:ind w:firstLine="640" w:firstLineChars="200"/>
        <w:jc w:val="left"/>
        <w:textAlignment w:val="auto"/>
        <w:rPr>
          <w:rFonts w:ascii="仿宋_GB2312" w:eastAsia="仿宋_GB2312"/>
          <w:b w:val="0"/>
          <w:bCs/>
          <w:sz w:val="32"/>
          <w:szCs w:val="32"/>
        </w:rPr>
      </w:pPr>
      <w:r>
        <w:rPr>
          <w:rFonts w:hint="eastAsia" w:ascii="楷体_GB2312" w:hAnsi="楷体_GB2312" w:eastAsia="楷体_GB2312" w:cs="楷体_GB2312"/>
          <w:b w:val="0"/>
          <w:bCs/>
          <w:kern w:val="0"/>
          <w:sz w:val="32"/>
          <w:szCs w:val="32"/>
        </w:rPr>
        <w:t>(七)其他有关文件专门要求报告的事项。</w:t>
      </w:r>
      <w:r>
        <w:rPr>
          <w:rFonts w:hint="eastAsia" w:ascii="仿宋_GB2312" w:hAnsi="宋体" w:eastAsia="仿宋_GB2312" w:cs="宋体"/>
          <w:b w:val="0"/>
          <w:bCs/>
          <w:kern w:val="0"/>
          <w:sz w:val="32"/>
          <w:szCs w:val="32"/>
        </w:rPr>
        <w:t>无。</w:t>
      </w:r>
      <w:r>
        <w:rPr>
          <w:rFonts w:hint="eastAsia" w:ascii="仿宋_GB2312" w:hAnsi="宋体" w:eastAsia="仿宋_GB2312" w:cs="宋体"/>
          <w:b w:val="0"/>
          <w:bCs/>
          <w:kern w:val="0"/>
          <w:sz w:val="32"/>
          <w:szCs w:val="32"/>
        </w:rPr>
        <w:tab/>
      </w:r>
      <w:bookmarkStart w:id="0" w:name="_GoBack"/>
      <w:bookmarkEnd w:id="0"/>
    </w:p>
    <w:p w14:paraId="2D7D264A">
      <w:pPr>
        <w:pStyle w:val="4"/>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80" w:lineRule="exact"/>
        <w:jc w:val="both"/>
        <w:textAlignment w:val="auto"/>
        <w:rPr>
          <w:rFonts w:hint="eastAsia" w:ascii="仿宋_GB2312" w:hAnsi="宋体" w:eastAsia="仿宋_GB2312" w:cs="宋体"/>
          <w:b w:val="0"/>
          <w:bCs/>
          <w:sz w:val="32"/>
          <w:szCs w:val="32"/>
        </w:rPr>
      </w:pPr>
    </w:p>
    <w:p w14:paraId="0A22B8D5">
      <w:pPr>
        <w:pStyle w:val="4"/>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80" w:lineRule="exact"/>
        <w:jc w:val="both"/>
        <w:textAlignment w:val="auto"/>
        <w:rPr>
          <w:rFonts w:hint="eastAsia" w:ascii="仿宋_GB2312" w:hAnsi="宋体" w:eastAsia="仿宋_GB2312" w:cs="宋体"/>
          <w:b w:val="0"/>
          <w:bCs/>
          <w:sz w:val="32"/>
          <w:szCs w:val="32"/>
        </w:rPr>
      </w:pPr>
    </w:p>
    <w:p w14:paraId="0A0D6F71">
      <w:pPr>
        <w:pStyle w:val="4"/>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80" w:lineRule="exact"/>
        <w:jc w:val="right"/>
        <w:textAlignment w:val="auto"/>
        <w:rPr>
          <w:rFonts w:ascii="微软雅黑" w:hAnsi="微软雅黑" w:eastAsia="微软雅黑" w:cs="微软雅黑"/>
          <w:b w:val="0"/>
          <w:bCs/>
          <w:color w:val="333333"/>
        </w:rPr>
      </w:pPr>
      <w:r>
        <w:rPr>
          <w:rFonts w:hint="eastAsia" w:ascii="仿宋_GB2312" w:hAnsi="宋体" w:eastAsia="仿宋_GB2312" w:cs="宋体"/>
          <w:b w:val="0"/>
          <w:bCs/>
          <w:sz w:val="32"/>
          <w:szCs w:val="32"/>
        </w:rPr>
        <w:t>昌乐县</w:t>
      </w:r>
      <w:r>
        <w:rPr>
          <w:rFonts w:ascii="仿宋_GB2312" w:hAnsi="宋体" w:eastAsia="仿宋_GB2312" w:cs="宋体"/>
          <w:b w:val="0"/>
          <w:bCs/>
          <w:sz w:val="32"/>
          <w:szCs w:val="32"/>
        </w:rPr>
        <w:t>退役军人事务局</w:t>
      </w:r>
    </w:p>
    <w:p w14:paraId="4A7DF4C0">
      <w:pPr>
        <w:pStyle w:val="4"/>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80" w:lineRule="exact"/>
        <w:jc w:val="right"/>
        <w:textAlignment w:val="auto"/>
        <w:rPr>
          <w:rFonts w:ascii="仿宋_GB2312" w:hAnsi="微软雅黑" w:eastAsia="仿宋_GB2312" w:cs="仿宋_GB2312"/>
          <w:b w:val="0"/>
          <w:bCs/>
          <w:color w:val="333333"/>
          <w:sz w:val="32"/>
          <w:szCs w:val="32"/>
          <w:shd w:val="clear" w:color="auto" w:fill="FFFFFF"/>
        </w:rPr>
      </w:pPr>
      <w:r>
        <w:rPr>
          <w:rFonts w:ascii="仿宋_GB2312" w:hAnsi="宋体" w:eastAsia="仿宋_GB2312" w:cs="宋体"/>
          <w:b w:val="0"/>
          <w:bCs/>
          <w:sz w:val="32"/>
          <w:szCs w:val="32"/>
        </w:rPr>
        <w:t>202</w:t>
      </w:r>
      <w:r>
        <w:rPr>
          <w:rFonts w:hint="eastAsia" w:ascii="仿宋_GB2312" w:hAnsi="宋体" w:eastAsia="仿宋_GB2312" w:cs="宋体"/>
          <w:b w:val="0"/>
          <w:bCs/>
          <w:sz w:val="32"/>
          <w:szCs w:val="32"/>
        </w:rPr>
        <w:t>6</w:t>
      </w:r>
      <w:r>
        <w:rPr>
          <w:rFonts w:ascii="仿宋_GB2312" w:hAnsi="宋体" w:eastAsia="仿宋_GB2312" w:cs="宋体"/>
          <w:b w:val="0"/>
          <w:bCs/>
          <w:sz w:val="32"/>
          <w:szCs w:val="32"/>
        </w:rPr>
        <w:t>年1月1</w:t>
      </w:r>
      <w:r>
        <w:rPr>
          <w:rFonts w:hint="eastAsia" w:ascii="仿宋_GB2312" w:hAnsi="宋体" w:eastAsia="仿宋_GB2312" w:cs="宋体"/>
          <w:b w:val="0"/>
          <w:bCs/>
          <w:sz w:val="32"/>
          <w:szCs w:val="32"/>
        </w:rPr>
        <w:t>5</w:t>
      </w:r>
      <w:r>
        <w:rPr>
          <w:rFonts w:ascii="仿宋_GB2312" w:hAnsi="宋体" w:eastAsia="仿宋_GB2312" w:cs="宋体"/>
          <w:b w:val="0"/>
          <w:bCs/>
          <w:sz w:val="32"/>
          <w:szCs w:val="32"/>
        </w:rPr>
        <w:t>日</w:t>
      </w:r>
    </w:p>
    <w:p w14:paraId="4AE3B2F8">
      <w:pPr>
        <w:keepNext w:val="0"/>
        <w:keepLines w:val="0"/>
        <w:pageBreakBefore w:val="0"/>
        <w:kinsoku/>
        <w:wordWrap/>
        <w:overflowPunct/>
        <w:topLinePunct w:val="0"/>
        <w:autoSpaceDE/>
        <w:bidi w:val="0"/>
        <w:adjustRightInd/>
        <w:snapToGrid/>
        <w:spacing w:line="580" w:lineRule="exact"/>
        <w:textAlignment w:val="auto"/>
        <w:rPr>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标宋">
    <w:panose1 w:val="02010604000101010101"/>
    <w:charset w:val="86"/>
    <w:family w:val="modern"/>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2004"/>
    <w:rsid w:val="002D1D56"/>
    <w:rsid w:val="00923D4C"/>
    <w:rsid w:val="00957201"/>
    <w:rsid w:val="00D42004"/>
    <w:rsid w:val="02D359E0"/>
    <w:rsid w:val="202F2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1745</Words>
  <Characters>1809</Characters>
  <Lines>25</Lines>
  <Paragraphs>7</Paragraphs>
  <TotalTime>0</TotalTime>
  <ScaleCrop>false</ScaleCrop>
  <LinksUpToDate>false</LinksUpToDate>
  <CharactersWithSpaces>1866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2026-01-14T00:57:00Z</dcterms:created>
  <dc:creator>PC</dc:creator>
  <cp:lastModifiedBy>AA</cp:lastModifiedBy>
  <dcterms:modified xsi:type="dcterms:W3CDTF">2026-01-20T07:10:26Z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eyJoZGlkIjoiZWMyNzdmNzczOTliOGFmYmM2YjUwNmEzNjI4ZjQ2NzQiLCJ1c2VySWQiOiIzMDkxNzU4MTIifQ==</vt:lpwstr>
  </property>
  <property fmtid="{D5CDD505-2E9C-101B-9397-08002B2CF9AE}" pid="3" name="KSOProductBuildVer">
    <vt:lpwstr>2052-12.1.0.24657</vt:lpwstr>
  </property>
  <property fmtid="{D5CDD505-2E9C-101B-9397-08002B2CF9AE}" pid="4" name="ICV">
    <vt:lpwstr>16F5F811AFAC4940BD7FD40743D6C483_12</vt:lpwstr>
  </property>
</Properties>
</file>